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DD3" w:rsidRPr="002E10D6" w:rsidRDefault="00D23DD3" w:rsidP="00D23DD3">
      <w:pPr>
        <w:pStyle w:val="Half"/>
      </w:pPr>
      <w:bookmarkStart w:id="0" w:name="_GoBack"/>
      <w:bookmarkEnd w:id="0"/>
    </w:p>
    <w:p w:rsidR="00D23DD3" w:rsidRDefault="00D23DD3" w:rsidP="00D23DD3">
      <w:pPr>
        <w:pStyle w:val="Single"/>
      </w:pPr>
      <w:r>
        <w:t>Manohar Raju</w:t>
      </w:r>
    </w:p>
    <w:p w:rsidR="00D23DD3" w:rsidRPr="000E370E" w:rsidRDefault="00D23DD3" w:rsidP="00D23DD3">
      <w:pPr>
        <w:pStyle w:val="Single"/>
      </w:pPr>
      <w:r w:rsidRPr="000E370E">
        <w:t>Public Defender</w:t>
      </w:r>
    </w:p>
    <w:p w:rsidR="00D23DD3" w:rsidRPr="000E370E" w:rsidRDefault="00D23DD3" w:rsidP="00D23DD3">
      <w:pPr>
        <w:pStyle w:val="Single"/>
      </w:pPr>
      <w:r w:rsidRPr="000E370E">
        <w:t>City and County of San Francisco</w:t>
      </w:r>
    </w:p>
    <w:p w:rsidR="00D23DD3" w:rsidRPr="000E370E" w:rsidRDefault="00D23DD3" w:rsidP="00D23DD3">
      <w:pPr>
        <w:pStyle w:val="Single"/>
      </w:pPr>
      <w:r>
        <w:t>Matt Gonzalez</w:t>
      </w:r>
    </w:p>
    <w:p w:rsidR="00D23DD3" w:rsidRPr="000E370E" w:rsidRDefault="00D23DD3" w:rsidP="00D23DD3">
      <w:pPr>
        <w:pStyle w:val="Single"/>
      </w:pPr>
      <w:r w:rsidRPr="000E370E">
        <w:t>Chief Attorney</w:t>
      </w:r>
    </w:p>
    <w:p w:rsidR="00D23DD3" w:rsidRPr="000E370E" w:rsidRDefault="00D23DD3" w:rsidP="00D23DD3">
      <w:pPr>
        <w:pStyle w:val="Single"/>
      </w:pPr>
      <w:r>
        <w:t>Crystal R. Lamb</w:t>
      </w:r>
      <w:r w:rsidRPr="000E370E">
        <w:t xml:space="preserve">, SBN </w:t>
      </w:r>
      <w:r>
        <w:t>185810</w:t>
      </w:r>
    </w:p>
    <w:p w:rsidR="00D23DD3" w:rsidRPr="00F40CF6" w:rsidRDefault="00D23DD3" w:rsidP="00D23DD3">
      <w:pPr>
        <w:pStyle w:val="Single"/>
      </w:pPr>
      <w:r w:rsidRPr="000E370E">
        <w:t>Deputy Public Defender</w:t>
      </w:r>
    </w:p>
    <w:p w:rsidR="00D23DD3" w:rsidRPr="000E370E" w:rsidRDefault="00D23DD3" w:rsidP="00D23DD3">
      <w:pPr>
        <w:pStyle w:val="Single"/>
      </w:pPr>
      <w:r w:rsidRPr="000E370E">
        <w:t>555 Seventh Street</w:t>
      </w:r>
    </w:p>
    <w:p w:rsidR="00D23DD3" w:rsidRPr="000E370E" w:rsidRDefault="00D23DD3" w:rsidP="00D23DD3">
      <w:pPr>
        <w:pStyle w:val="Single"/>
      </w:pPr>
      <w:r w:rsidRPr="000E370E">
        <w:t>San Francisco, CA 94103</w:t>
      </w:r>
    </w:p>
    <w:p w:rsidR="00C115CF" w:rsidRDefault="00D23DD3" w:rsidP="00D23DD3">
      <w:pPr>
        <w:pStyle w:val="Single"/>
      </w:pPr>
      <w:r>
        <w:t>Direct:</w:t>
      </w:r>
      <w:r w:rsidRPr="00CC4301">
        <w:t xml:space="preserve"> </w:t>
      </w:r>
      <w:r>
        <w:t>415-553-4911</w:t>
      </w:r>
    </w:p>
    <w:p w:rsidR="00D23DD3" w:rsidRDefault="00C115CF" w:rsidP="00D23DD3">
      <w:pPr>
        <w:pStyle w:val="Single"/>
      </w:pPr>
      <w:r>
        <w:t>Fax:  415-553-9810</w:t>
      </w:r>
      <w:r w:rsidR="00D23DD3">
        <w:br/>
        <w:t xml:space="preserve">Email: </w:t>
      </w:r>
      <w:r>
        <w:t>Crystal.Lamb@sfgov.org</w:t>
      </w:r>
    </w:p>
    <w:p w:rsidR="00D23DD3" w:rsidRDefault="00D23DD3" w:rsidP="00D23DD3">
      <w:pPr>
        <w:pStyle w:val="Single"/>
      </w:pPr>
      <w:r>
        <w:t>Attorneys for DELBERT J ERVIN</w:t>
      </w:r>
    </w:p>
    <w:p w:rsidR="00D23DD3" w:rsidRDefault="00D23DD3" w:rsidP="00D23DD3">
      <w:pPr>
        <w:pStyle w:val="Single"/>
      </w:pPr>
    </w:p>
    <w:p w:rsidR="00D23DD3" w:rsidRDefault="00D23DD3" w:rsidP="00D23DD3">
      <w:pPr>
        <w:pStyle w:val="Single"/>
      </w:pPr>
    </w:p>
    <w:p w:rsidR="00D23DD3" w:rsidRDefault="00D23DD3" w:rsidP="00D23DD3">
      <w:pPr>
        <w:ind w:firstLine="0"/>
        <w:jc w:val="center"/>
        <w:rPr>
          <w:b/>
          <w:sz w:val="28"/>
          <w:szCs w:val="28"/>
          <w:lang w:eastAsia="en-US"/>
        </w:rPr>
      </w:pPr>
      <w:r>
        <w:rPr>
          <w:b/>
          <w:sz w:val="28"/>
          <w:szCs w:val="28"/>
          <w:lang w:eastAsia="en-US"/>
        </w:rPr>
        <w:t>SUPERIOR COURT OF CALIFORNIA</w:t>
      </w:r>
    </w:p>
    <w:p w:rsidR="00D23DD3" w:rsidRPr="00D23DD3" w:rsidRDefault="00D23DD3" w:rsidP="00D23DD3">
      <w:pPr>
        <w:ind w:firstLine="0"/>
        <w:jc w:val="center"/>
        <w:rPr>
          <w:b/>
          <w:sz w:val="28"/>
          <w:szCs w:val="28"/>
          <w:lang w:eastAsia="en-US"/>
        </w:rPr>
      </w:pPr>
      <w:r>
        <w:rPr>
          <w:b/>
          <w:sz w:val="28"/>
          <w:szCs w:val="28"/>
          <w:lang w:eastAsia="en-US"/>
        </w:rPr>
        <w:t>SAN FRANCISCO COUNTY</w:t>
      </w:r>
    </w:p>
    <w:tbl>
      <w:tblPr>
        <w:tblW w:w="0" w:type="auto"/>
        <w:tblInd w:w="8" w:type="dxa"/>
        <w:tblLayout w:type="fixed"/>
        <w:tblCellMar>
          <w:left w:w="0" w:type="dxa"/>
          <w:right w:w="0" w:type="dxa"/>
        </w:tblCellMar>
        <w:tblLook w:val="0000" w:firstRow="0" w:lastRow="0" w:firstColumn="0" w:lastColumn="0" w:noHBand="0" w:noVBand="0"/>
      </w:tblPr>
      <w:tblGrid>
        <w:gridCol w:w="4500"/>
        <w:gridCol w:w="4860"/>
      </w:tblGrid>
      <w:tr w:rsidR="00D23DD3" w:rsidTr="00AC05B8">
        <w:trPr>
          <w:trHeight w:val="2916"/>
        </w:trPr>
        <w:tc>
          <w:tcPr>
            <w:tcW w:w="4500" w:type="dxa"/>
            <w:tcBorders>
              <w:bottom w:val="single" w:sz="4" w:space="0" w:color="auto"/>
              <w:right w:val="single" w:sz="4" w:space="0" w:color="auto"/>
            </w:tcBorders>
          </w:tcPr>
          <w:p w:rsidR="00D23DD3" w:rsidRPr="00AF1DCB" w:rsidRDefault="00D23DD3" w:rsidP="00AC05B8">
            <w:pPr>
              <w:pStyle w:val="StyleSingleBody15ptBold"/>
              <w:spacing w:line="300" w:lineRule="exact"/>
            </w:pPr>
            <w:bookmarkStart w:id="1" w:name="Parties"/>
            <w:bookmarkEnd w:id="1"/>
            <w:r w:rsidRPr="00AF1DCB">
              <w:br/>
              <w:t>People of the State of California,</w:t>
            </w:r>
          </w:p>
          <w:p w:rsidR="00D23DD3" w:rsidRDefault="00D23DD3" w:rsidP="00AC05B8">
            <w:pPr>
              <w:pStyle w:val="Single"/>
            </w:pPr>
          </w:p>
          <w:p w:rsidR="00D23DD3" w:rsidRDefault="00D23DD3" w:rsidP="00AC05B8">
            <w:pPr>
              <w:pStyle w:val="Single"/>
            </w:pPr>
            <w:r>
              <w:tab/>
            </w:r>
            <w:r>
              <w:tab/>
              <w:t>Plaintiff,</w:t>
            </w:r>
          </w:p>
          <w:p w:rsidR="00D23DD3" w:rsidRDefault="00D23DD3" w:rsidP="00AC05B8">
            <w:pPr>
              <w:pStyle w:val="Single"/>
            </w:pPr>
          </w:p>
          <w:p w:rsidR="00D23DD3" w:rsidRDefault="00D23DD3" w:rsidP="00AC05B8">
            <w:pPr>
              <w:pStyle w:val="Single"/>
            </w:pPr>
            <w:r>
              <w:tab/>
              <w:t>vs.</w:t>
            </w:r>
          </w:p>
          <w:p w:rsidR="00D23DD3" w:rsidRPr="00AF1DCB" w:rsidRDefault="00D23DD3" w:rsidP="00AC05B8">
            <w:pPr>
              <w:pStyle w:val="Single"/>
              <w:rPr>
                <w:rFonts w:asciiTheme="minorHAnsi" w:hAnsiTheme="minorHAnsi" w:cstheme="minorHAnsi"/>
                <w:b/>
              </w:rPr>
            </w:pPr>
          </w:p>
          <w:p w:rsidR="00D23DD3" w:rsidRPr="00AF1DCB" w:rsidRDefault="00D23DD3" w:rsidP="00AC05B8">
            <w:pPr>
              <w:pStyle w:val="StyleSingleBody15ptBold"/>
              <w:spacing w:line="300" w:lineRule="exact"/>
            </w:pPr>
            <w:r>
              <w:t>DELBERT J ERVIN</w:t>
            </w:r>
            <w:r w:rsidRPr="00AF1DCB">
              <w:t>,</w:t>
            </w:r>
          </w:p>
          <w:p w:rsidR="00D23DD3" w:rsidRPr="00AA72DB" w:rsidRDefault="00D23DD3" w:rsidP="00AC05B8">
            <w:pPr>
              <w:pStyle w:val="Single"/>
            </w:pPr>
          </w:p>
          <w:p w:rsidR="00D23DD3" w:rsidRDefault="00D23DD3" w:rsidP="00AC05B8">
            <w:pPr>
              <w:pStyle w:val="Single"/>
            </w:pPr>
            <w:r>
              <w:tab/>
            </w:r>
            <w:r>
              <w:tab/>
              <w:t>Defendant.</w:t>
            </w:r>
          </w:p>
        </w:tc>
        <w:tc>
          <w:tcPr>
            <w:tcW w:w="4860" w:type="dxa"/>
            <w:tcBorders>
              <w:left w:val="nil"/>
            </w:tcBorders>
          </w:tcPr>
          <w:p w:rsidR="00D23DD3" w:rsidRDefault="00D23DD3" w:rsidP="00AC05B8">
            <w:pPr>
              <w:pStyle w:val="CaseMotionInfo"/>
            </w:pPr>
            <w:bookmarkStart w:id="2" w:name="CaseNumber"/>
            <w:bookmarkEnd w:id="2"/>
            <w:r>
              <w:br/>
              <w:t xml:space="preserve">SCN: </w:t>
            </w:r>
          </w:p>
          <w:p w:rsidR="00D23DD3" w:rsidRDefault="00D23DD3" w:rsidP="00AC05B8">
            <w:pPr>
              <w:pStyle w:val="CaseMotionInfo"/>
            </w:pPr>
            <w:r>
              <w:t xml:space="preserve">Ltd. Juris. No.: 20010906 </w:t>
            </w:r>
          </w:p>
          <w:p w:rsidR="00D23DD3" w:rsidRDefault="00D23DD3" w:rsidP="00AC05B8">
            <w:pPr>
              <w:pStyle w:val="CaseMotionInfo"/>
            </w:pPr>
          </w:p>
          <w:p w:rsidR="00D23DD3" w:rsidRPr="00C115CF" w:rsidRDefault="00DB1D2B" w:rsidP="00AC05B8">
            <w:pPr>
              <w:pStyle w:val="CaseMotionInfo"/>
            </w:pPr>
            <w:r>
              <w:rPr>
                <w:b/>
                <w:sz w:val="30"/>
                <w:szCs w:val="30"/>
              </w:rPr>
              <w:t>MOTION TO MODIFY CONDITIONS OF RELEASE ON OWN RECOGNIZANCE</w:t>
            </w:r>
          </w:p>
          <w:p w:rsidR="00D23DD3" w:rsidRPr="00C115CF" w:rsidRDefault="00D23DD3" w:rsidP="00AC05B8">
            <w:pPr>
              <w:pStyle w:val="CaseMotionInfo"/>
            </w:pPr>
          </w:p>
          <w:p w:rsidR="00D23DD3" w:rsidRPr="00C115CF" w:rsidRDefault="00D23DD3" w:rsidP="00AC05B8">
            <w:pPr>
              <w:pStyle w:val="CaseMotionInfo"/>
            </w:pPr>
            <w:r w:rsidRPr="00C115CF">
              <w:t>Date:</w:t>
            </w:r>
            <w:r w:rsidRPr="00C115CF">
              <w:tab/>
            </w:r>
            <w:r w:rsidR="002217E7">
              <w:fldChar w:fldCharType="begin"/>
            </w:r>
            <w:r w:rsidR="002217E7">
              <w:instrText xml:space="preserve"> MERGEFIELD Date </w:instrText>
            </w:r>
            <w:r w:rsidR="002217E7">
              <w:fldChar w:fldCharType="separate"/>
            </w:r>
            <w:r w:rsidRPr="00C115CF">
              <w:rPr>
                <w:noProof/>
              </w:rPr>
              <w:t>Date</w:t>
            </w:r>
            <w:r w:rsidR="002217E7">
              <w:rPr>
                <w:noProof/>
              </w:rPr>
              <w:fldChar w:fldCharType="end"/>
            </w:r>
          </w:p>
          <w:p w:rsidR="00D23DD3" w:rsidRPr="00C115CF" w:rsidRDefault="00D23DD3" w:rsidP="00AC05B8">
            <w:pPr>
              <w:pStyle w:val="CaseMotionInfo"/>
            </w:pPr>
            <w:r w:rsidRPr="00C115CF">
              <w:t xml:space="preserve">Time: </w:t>
            </w:r>
            <w:r w:rsidRPr="00C115CF">
              <w:tab/>
              <w:t>9:00 AM</w:t>
            </w:r>
          </w:p>
          <w:p w:rsidR="00D23DD3" w:rsidRDefault="00D23DD3" w:rsidP="00AC05B8">
            <w:pPr>
              <w:pStyle w:val="CaseMotionInfo"/>
            </w:pPr>
            <w:r w:rsidRPr="00C115CF">
              <w:t xml:space="preserve">Dept:  </w:t>
            </w:r>
            <w:r w:rsidRPr="00C115CF">
              <w:tab/>
              <w:t>M11</w:t>
            </w:r>
          </w:p>
        </w:tc>
      </w:tr>
    </w:tbl>
    <w:p w:rsidR="009F0E74" w:rsidRPr="00DC0715" w:rsidRDefault="009F0E74" w:rsidP="00D23DD3">
      <w:pPr>
        <w:pStyle w:val="CourtName"/>
        <w:jc w:val="left"/>
        <w:rPr>
          <w:rStyle w:val="CourtNameChar"/>
          <w:rFonts w:ascii="Bookman Old Style" w:hAnsi="Bookman Old Style"/>
          <w:caps/>
          <w:sz w:val="22"/>
          <w:szCs w:val="22"/>
        </w:rPr>
      </w:pPr>
    </w:p>
    <w:p w:rsidR="009F0E74" w:rsidRDefault="00C115CF">
      <w:pPr>
        <w:rPr>
          <w:rFonts w:ascii="Bookman Old Style" w:hAnsi="Bookman Old Style"/>
          <w:sz w:val="22"/>
          <w:szCs w:val="22"/>
        </w:rPr>
      </w:pPr>
      <w:r>
        <w:rPr>
          <w:rFonts w:ascii="Bookman Old Style" w:hAnsi="Bookman Old Style"/>
          <w:sz w:val="22"/>
          <w:szCs w:val="22"/>
        </w:rPr>
        <w:t xml:space="preserve">COMES NOW THE DEFENDANT, </w:t>
      </w:r>
      <w:r w:rsidRPr="00C115CF">
        <w:rPr>
          <w:rFonts w:ascii="Bookman Old Style" w:hAnsi="Bookman Old Style"/>
          <w:sz w:val="22"/>
          <w:szCs w:val="22"/>
        </w:rPr>
        <w:t>D</w:t>
      </w:r>
      <w:r>
        <w:rPr>
          <w:rFonts w:ascii="Bookman Old Style" w:hAnsi="Bookman Old Style"/>
          <w:sz w:val="22"/>
          <w:szCs w:val="22"/>
        </w:rPr>
        <w:t>ELBERT J. ERVIN</w:t>
      </w:r>
      <w:r w:rsidR="002A26D8">
        <w:rPr>
          <w:rFonts w:ascii="Bookman Old Style" w:hAnsi="Bookman Old Style"/>
          <w:sz w:val="22"/>
          <w:szCs w:val="22"/>
        </w:rPr>
        <w:t xml:space="preserve">, by and through his attorney of record, </w:t>
      </w:r>
      <w:r>
        <w:rPr>
          <w:rFonts w:ascii="Bookman Old Style" w:hAnsi="Bookman Old Style"/>
          <w:sz w:val="22"/>
          <w:szCs w:val="22"/>
        </w:rPr>
        <w:t xml:space="preserve">CRYSTAL LAMB </w:t>
      </w:r>
      <w:r w:rsidR="002A26D8">
        <w:rPr>
          <w:rFonts w:ascii="Bookman Old Style" w:hAnsi="Bookman Old Style"/>
          <w:sz w:val="22"/>
          <w:szCs w:val="22"/>
        </w:rPr>
        <w:t>of the San Francisco Public Defender’s Office, and pre</w:t>
      </w:r>
      <w:r w:rsidR="00DB1D2B">
        <w:rPr>
          <w:rFonts w:ascii="Bookman Old Style" w:hAnsi="Bookman Old Style"/>
          <w:sz w:val="22"/>
          <w:szCs w:val="22"/>
        </w:rPr>
        <w:t>sents this Motion to Modify</w:t>
      </w:r>
      <w:r w:rsidR="002A26D8">
        <w:rPr>
          <w:rFonts w:ascii="Bookman Old Style" w:hAnsi="Bookman Old Style"/>
          <w:sz w:val="22"/>
          <w:szCs w:val="22"/>
        </w:rPr>
        <w:t xml:space="preserve"> Conditions</w:t>
      </w:r>
      <w:r w:rsidR="00DB1D2B">
        <w:rPr>
          <w:rFonts w:ascii="Bookman Old Style" w:hAnsi="Bookman Old Style"/>
          <w:sz w:val="22"/>
          <w:szCs w:val="22"/>
        </w:rPr>
        <w:t xml:space="preserve"> of Release from Custody</w:t>
      </w:r>
      <w:r w:rsidR="002A26D8">
        <w:rPr>
          <w:rFonts w:ascii="Bookman Old Style" w:hAnsi="Bookman Old Style"/>
          <w:sz w:val="22"/>
          <w:szCs w:val="22"/>
        </w:rPr>
        <w:t>.</w:t>
      </w:r>
    </w:p>
    <w:p w:rsidR="000578F4" w:rsidRPr="000578F4" w:rsidRDefault="000578F4" w:rsidP="000578F4">
      <w:pPr>
        <w:spacing w:line="240" w:lineRule="auto"/>
        <w:ind w:firstLine="0"/>
        <w:rPr>
          <w:rFonts w:ascii="Bookman Old Style" w:hAnsi="Bookman Old Style"/>
          <w:sz w:val="22"/>
          <w:szCs w:val="22"/>
        </w:rPr>
      </w:pPr>
    </w:p>
    <w:p w:rsidR="002A26D8" w:rsidRDefault="002A26D8" w:rsidP="002A26D8">
      <w:pPr>
        <w:jc w:val="center"/>
        <w:rPr>
          <w:rFonts w:ascii="Bookman Old Style" w:hAnsi="Bookman Old Style"/>
          <w:sz w:val="22"/>
          <w:szCs w:val="22"/>
        </w:rPr>
      </w:pPr>
      <w:r>
        <w:rPr>
          <w:rFonts w:ascii="Bookman Old Style" w:hAnsi="Bookman Old Style"/>
          <w:b/>
          <w:bCs/>
          <w:sz w:val="22"/>
          <w:szCs w:val="22"/>
        </w:rPr>
        <w:t>Procedural History</w:t>
      </w:r>
    </w:p>
    <w:p w:rsidR="000578F4" w:rsidRDefault="000D522D" w:rsidP="00584657">
      <w:pPr>
        <w:ind w:firstLine="720"/>
        <w:rPr>
          <w:rFonts w:ascii="Bookman Old Style" w:hAnsi="Bookman Old Style"/>
          <w:sz w:val="22"/>
          <w:szCs w:val="22"/>
        </w:rPr>
      </w:pPr>
      <w:r>
        <w:rPr>
          <w:rFonts w:ascii="Bookman Old Style" w:hAnsi="Bookman Old Style"/>
          <w:sz w:val="22"/>
          <w:szCs w:val="22"/>
        </w:rPr>
        <w:t xml:space="preserve">On October 16, 2020, Judge Richard C. </w:t>
      </w:r>
      <w:r w:rsidR="00DB1D2B">
        <w:rPr>
          <w:rFonts w:ascii="Bookman Old Style" w:hAnsi="Bookman Old Style"/>
          <w:sz w:val="22"/>
          <w:szCs w:val="22"/>
        </w:rPr>
        <w:t xml:space="preserve">Darwin of Department 11 of the above-entitled </w:t>
      </w:r>
      <w:r>
        <w:rPr>
          <w:rFonts w:ascii="Bookman Old Style" w:hAnsi="Bookman Old Style"/>
          <w:sz w:val="22"/>
          <w:szCs w:val="22"/>
        </w:rPr>
        <w:t xml:space="preserve">court, </w:t>
      </w:r>
      <w:r w:rsidR="000578F4">
        <w:rPr>
          <w:rFonts w:ascii="Bookman Old Style" w:hAnsi="Bookman Old Style"/>
          <w:sz w:val="22"/>
          <w:szCs w:val="22"/>
        </w:rPr>
        <w:t xml:space="preserve">issued an order </w:t>
      </w:r>
      <w:r w:rsidR="00C115CF">
        <w:rPr>
          <w:rFonts w:ascii="Bookman Old Style" w:hAnsi="Bookman Old Style"/>
          <w:sz w:val="22"/>
          <w:szCs w:val="22"/>
        </w:rPr>
        <w:t xml:space="preserve">conditioning Mr. Ervin’s </w:t>
      </w:r>
      <w:r w:rsidR="008C166B">
        <w:rPr>
          <w:rFonts w:ascii="Bookman Old Style" w:hAnsi="Bookman Old Style"/>
          <w:sz w:val="22"/>
          <w:szCs w:val="22"/>
        </w:rPr>
        <w:t xml:space="preserve">continued </w:t>
      </w:r>
      <w:r w:rsidR="00C115CF">
        <w:rPr>
          <w:rFonts w:ascii="Bookman Old Style" w:hAnsi="Bookman Old Style"/>
          <w:sz w:val="22"/>
          <w:szCs w:val="22"/>
        </w:rPr>
        <w:t xml:space="preserve">release on his own recognizance to </w:t>
      </w:r>
      <w:r w:rsidR="008707FF">
        <w:rPr>
          <w:rFonts w:ascii="Bookman Old Style" w:hAnsi="Bookman Old Style"/>
          <w:sz w:val="22"/>
          <w:szCs w:val="22"/>
        </w:rPr>
        <w:t xml:space="preserve">a search and seizure condition, a prohibition against the use of </w:t>
      </w:r>
      <w:r w:rsidR="008707FF">
        <w:rPr>
          <w:rFonts w:ascii="Bookman Old Style" w:hAnsi="Bookman Old Style"/>
          <w:sz w:val="22"/>
          <w:szCs w:val="22"/>
        </w:rPr>
        <w:lastRenderedPageBreak/>
        <w:t>encryption software on devices that connect to th</w:t>
      </w:r>
      <w:r w:rsidR="008C166B">
        <w:rPr>
          <w:rFonts w:ascii="Bookman Old Style" w:hAnsi="Bookman Old Style"/>
          <w:sz w:val="22"/>
          <w:szCs w:val="22"/>
        </w:rPr>
        <w:t>e internet and a mandate that he</w:t>
      </w:r>
      <w:r w:rsidR="00C115CF">
        <w:rPr>
          <w:rFonts w:ascii="Bookman Old Style" w:hAnsi="Bookman Old Style"/>
          <w:sz w:val="22"/>
          <w:szCs w:val="22"/>
        </w:rPr>
        <w:t xml:space="preserve"> inform the police of his</w:t>
      </w:r>
      <w:r w:rsidR="008707FF">
        <w:rPr>
          <w:rFonts w:ascii="Bookman Old Style" w:hAnsi="Bookman Old Style"/>
          <w:sz w:val="22"/>
          <w:szCs w:val="22"/>
        </w:rPr>
        <w:t xml:space="preserve"> passwords to any </w:t>
      </w:r>
      <w:r w:rsidR="008C166B">
        <w:rPr>
          <w:rFonts w:ascii="Bookman Old Style" w:hAnsi="Bookman Old Style"/>
          <w:sz w:val="22"/>
          <w:szCs w:val="22"/>
        </w:rPr>
        <w:t xml:space="preserve">electronic </w:t>
      </w:r>
      <w:r w:rsidR="008707FF">
        <w:rPr>
          <w:rFonts w:ascii="Bookman Old Style" w:hAnsi="Bookman Old Style"/>
          <w:sz w:val="22"/>
          <w:szCs w:val="22"/>
        </w:rPr>
        <w:t>devices in his possession.</w:t>
      </w:r>
      <w:r w:rsidR="00C115CF">
        <w:rPr>
          <w:rFonts w:ascii="Bookman Old Style" w:hAnsi="Bookman Old Style"/>
          <w:sz w:val="22"/>
          <w:szCs w:val="22"/>
        </w:rPr>
        <w:t xml:space="preserve">  </w:t>
      </w:r>
      <w:r w:rsidR="008C166B">
        <w:rPr>
          <w:rFonts w:ascii="Bookman Old Style" w:hAnsi="Bookman Old Style"/>
          <w:sz w:val="22"/>
          <w:szCs w:val="22"/>
        </w:rPr>
        <w:t>Mr. Ervin had been released on his own recognizance prior to arraignment, and appeared in court on the date a</w:t>
      </w:r>
      <w:r w:rsidR="00437CD3">
        <w:rPr>
          <w:rFonts w:ascii="Bookman Old Style" w:hAnsi="Bookman Old Style"/>
          <w:sz w:val="22"/>
          <w:szCs w:val="22"/>
        </w:rPr>
        <w:t>nd time set for his arraignment at which time he was appointed counsel.</w:t>
      </w:r>
      <w:r w:rsidR="008C166B">
        <w:rPr>
          <w:rFonts w:ascii="Bookman Old Style" w:hAnsi="Bookman Old Style"/>
          <w:sz w:val="22"/>
          <w:szCs w:val="22"/>
        </w:rPr>
        <w:t xml:space="preserve">  Mr. Ervin had been released on his own recognizance prior to arraignment due to his complete lack of criminal history and prior failures to appear in court.  He is a long time resident of San Francisco, a homeowner, and holds a professional job.  He is 72 years old,</w:t>
      </w:r>
      <w:r w:rsidR="00584657">
        <w:rPr>
          <w:rFonts w:ascii="Bookman Old Style" w:hAnsi="Bookman Old Style"/>
          <w:sz w:val="22"/>
          <w:szCs w:val="22"/>
        </w:rPr>
        <w:t xml:space="preserve">  Judge Darwin ordered the conditions on the mere request of ADA Katy Wells, who presented no specific facts regarding Mr. Ervin which would warrant the requested conditions.  Rather, she asserted that other judges routinely impose these conditions (at her request) for anyone accused of the crimes </w:t>
      </w:r>
      <w:r w:rsidR="00DB1D2B">
        <w:rPr>
          <w:rFonts w:ascii="Bookman Old Style" w:hAnsi="Bookman Old Style"/>
          <w:sz w:val="22"/>
          <w:szCs w:val="22"/>
        </w:rPr>
        <w:t xml:space="preserve">for </w:t>
      </w:r>
      <w:r w:rsidR="00584657">
        <w:rPr>
          <w:rFonts w:ascii="Bookman Old Style" w:hAnsi="Bookman Old Style"/>
          <w:sz w:val="22"/>
          <w:szCs w:val="22"/>
        </w:rPr>
        <w:t>which Mr. Ervin stands accused</w:t>
      </w:r>
      <w:r w:rsidR="00DB1D2B">
        <w:rPr>
          <w:rFonts w:ascii="Bookman Old Style" w:hAnsi="Bookman Old Style"/>
          <w:sz w:val="22"/>
          <w:szCs w:val="22"/>
        </w:rPr>
        <w:t xml:space="preserve"> (Mr. Ervin is accused of two counts of Penal Code Section 311.11)</w:t>
      </w:r>
      <w:r w:rsidR="00584657">
        <w:rPr>
          <w:rFonts w:ascii="Bookman Old Style" w:hAnsi="Bookman Old Style"/>
          <w:sz w:val="22"/>
          <w:szCs w:val="22"/>
        </w:rPr>
        <w:t xml:space="preserve">.  Defense counsel objected on Constitutional grounds:  Fourth, Fifth, Sixth, and Fourteenth Amendments to the U.S. Constitution.  At this time, counsel also objects on First </w:t>
      </w:r>
      <w:r w:rsidR="009B1E68">
        <w:rPr>
          <w:rFonts w:ascii="Bookman Old Style" w:hAnsi="Bookman Old Style"/>
          <w:sz w:val="22"/>
          <w:szCs w:val="22"/>
        </w:rPr>
        <w:t xml:space="preserve">and Eighth </w:t>
      </w:r>
      <w:r w:rsidR="00584657">
        <w:rPr>
          <w:rFonts w:ascii="Bookman Old Style" w:hAnsi="Bookman Old Style"/>
          <w:sz w:val="22"/>
          <w:szCs w:val="22"/>
        </w:rPr>
        <w:t>Amendment grounds.  Judge Darwin granted the prosecution’s request and imposed the above conditions on Mr. Ervin, subject to defense counsel bringing a motion to modify conditions of release.  In other words, Judge Darwin shifted the burden to the defendant</w:t>
      </w:r>
      <w:r w:rsidR="00565E57">
        <w:rPr>
          <w:rFonts w:ascii="Bookman Old Style" w:hAnsi="Bookman Old Style"/>
          <w:sz w:val="22"/>
          <w:szCs w:val="22"/>
        </w:rPr>
        <w:t xml:space="preserve"> to justify the removal of these conditions, rather than requiring the prosecution to provide specific facts regarding Mr. Ervin which would warrant their imposition.</w:t>
      </w:r>
    </w:p>
    <w:p w:rsidR="00565E57" w:rsidRDefault="00565E57" w:rsidP="00584657">
      <w:pPr>
        <w:ind w:firstLine="720"/>
        <w:rPr>
          <w:rFonts w:ascii="Bookman Old Style" w:hAnsi="Bookman Old Style"/>
          <w:sz w:val="22"/>
          <w:szCs w:val="22"/>
        </w:rPr>
      </w:pPr>
      <w:r>
        <w:rPr>
          <w:rFonts w:ascii="Bookman Old Style" w:hAnsi="Bookman Old Style"/>
          <w:sz w:val="22"/>
          <w:szCs w:val="22"/>
        </w:rPr>
        <w:t>This motion follows.</w:t>
      </w:r>
    </w:p>
    <w:p w:rsidR="0014443A" w:rsidRDefault="0014443A" w:rsidP="0014443A">
      <w:pPr>
        <w:ind w:firstLine="0"/>
        <w:rPr>
          <w:rFonts w:ascii="Bookman Old Style" w:hAnsi="Bookman Old Style"/>
          <w:sz w:val="22"/>
          <w:szCs w:val="22"/>
        </w:rPr>
      </w:pPr>
      <w:r>
        <w:rPr>
          <w:rFonts w:ascii="Bookman Old Style" w:hAnsi="Bookman Old Style"/>
          <w:sz w:val="22"/>
          <w:szCs w:val="22"/>
        </w:rPr>
        <w:t>///</w:t>
      </w:r>
    </w:p>
    <w:p w:rsidR="0014443A" w:rsidRDefault="0014443A" w:rsidP="0014443A">
      <w:pPr>
        <w:ind w:firstLine="0"/>
        <w:rPr>
          <w:rFonts w:ascii="Bookman Old Style" w:hAnsi="Bookman Old Style"/>
          <w:sz w:val="22"/>
          <w:szCs w:val="22"/>
        </w:rPr>
      </w:pPr>
      <w:r>
        <w:rPr>
          <w:rFonts w:ascii="Bookman Old Style" w:hAnsi="Bookman Old Style"/>
          <w:sz w:val="22"/>
          <w:szCs w:val="22"/>
        </w:rPr>
        <w:t>///</w:t>
      </w:r>
    </w:p>
    <w:p w:rsidR="0014443A" w:rsidRDefault="0014443A" w:rsidP="0014443A">
      <w:pPr>
        <w:ind w:firstLine="0"/>
        <w:rPr>
          <w:rFonts w:ascii="Bookman Old Style" w:hAnsi="Bookman Old Style"/>
          <w:sz w:val="22"/>
          <w:szCs w:val="22"/>
        </w:rPr>
      </w:pPr>
      <w:r>
        <w:rPr>
          <w:rFonts w:ascii="Bookman Old Style" w:hAnsi="Bookman Old Style"/>
          <w:sz w:val="22"/>
          <w:szCs w:val="22"/>
        </w:rPr>
        <w:t>///</w:t>
      </w:r>
    </w:p>
    <w:p w:rsidR="000578F4" w:rsidRDefault="005746B6" w:rsidP="005746B6">
      <w:pPr>
        <w:rPr>
          <w:rFonts w:ascii="Bookman Old Style" w:hAnsi="Bookman Old Style"/>
          <w:sz w:val="22"/>
          <w:szCs w:val="22"/>
        </w:rPr>
      </w:pPr>
      <w:r>
        <w:rPr>
          <w:rFonts w:ascii="Bookman Old Style" w:hAnsi="Bookman Old Style"/>
          <w:b/>
          <w:bCs/>
          <w:sz w:val="22"/>
          <w:szCs w:val="22"/>
        </w:rPr>
        <w:lastRenderedPageBreak/>
        <w:t xml:space="preserve">                  </w:t>
      </w:r>
      <w:r w:rsidR="000578F4">
        <w:rPr>
          <w:rFonts w:ascii="Bookman Old Style" w:hAnsi="Bookman Old Style"/>
          <w:b/>
          <w:bCs/>
          <w:sz w:val="22"/>
          <w:szCs w:val="22"/>
        </w:rPr>
        <w:t>Arguments and Authorities</w:t>
      </w:r>
    </w:p>
    <w:p w:rsidR="000578F4" w:rsidRDefault="000578F4" w:rsidP="000578F4">
      <w:pPr>
        <w:ind w:firstLine="0"/>
        <w:rPr>
          <w:rFonts w:ascii="Bookman Old Style" w:hAnsi="Bookman Old Style"/>
          <w:sz w:val="22"/>
          <w:szCs w:val="22"/>
        </w:rPr>
      </w:pPr>
    </w:p>
    <w:p w:rsidR="000578F4" w:rsidRDefault="000578F4" w:rsidP="000578F4">
      <w:pPr>
        <w:pStyle w:val="ListParagraph"/>
        <w:spacing w:line="240" w:lineRule="auto"/>
        <w:ind w:left="1080" w:firstLine="0"/>
        <w:rPr>
          <w:rFonts w:ascii="Bookman Old Style" w:hAnsi="Bookman Old Style"/>
          <w:b/>
          <w:bCs/>
          <w:sz w:val="22"/>
          <w:szCs w:val="22"/>
        </w:rPr>
      </w:pPr>
    </w:p>
    <w:p w:rsidR="000578F4" w:rsidRPr="003E500B" w:rsidRDefault="006F0BCB" w:rsidP="003E500B">
      <w:pPr>
        <w:spacing w:line="240" w:lineRule="auto"/>
        <w:ind w:firstLine="0"/>
        <w:rPr>
          <w:rFonts w:ascii="Bookman Old Style" w:hAnsi="Bookman Old Style"/>
          <w:b/>
          <w:bCs/>
          <w:sz w:val="26"/>
          <w:szCs w:val="26"/>
        </w:rPr>
      </w:pPr>
      <w:r>
        <w:rPr>
          <w:rFonts w:ascii="Bookman Old Style" w:hAnsi="Bookman Old Style"/>
          <w:b/>
          <w:bCs/>
          <w:sz w:val="26"/>
          <w:szCs w:val="26"/>
        </w:rPr>
        <w:t>1</w:t>
      </w:r>
      <w:r w:rsidR="003E500B">
        <w:rPr>
          <w:rFonts w:ascii="Bookman Old Style" w:hAnsi="Bookman Old Style"/>
          <w:b/>
          <w:bCs/>
          <w:sz w:val="26"/>
          <w:szCs w:val="26"/>
        </w:rPr>
        <w:t xml:space="preserve">. </w:t>
      </w:r>
      <w:r w:rsidR="000578F4" w:rsidRPr="003E500B">
        <w:rPr>
          <w:rFonts w:ascii="Bookman Old Style" w:hAnsi="Bookman Old Style"/>
          <w:b/>
          <w:bCs/>
          <w:sz w:val="26"/>
          <w:szCs w:val="26"/>
        </w:rPr>
        <w:t>The warrantless search condition violates Delbert’s 4</w:t>
      </w:r>
      <w:r w:rsidR="000578F4" w:rsidRPr="003E500B">
        <w:rPr>
          <w:rFonts w:ascii="Bookman Old Style" w:hAnsi="Bookman Old Style"/>
          <w:b/>
          <w:bCs/>
          <w:sz w:val="26"/>
          <w:szCs w:val="26"/>
          <w:vertAlign w:val="superscript"/>
        </w:rPr>
        <w:t>th</w:t>
      </w:r>
      <w:r w:rsidR="000578F4" w:rsidRPr="003E500B">
        <w:rPr>
          <w:rFonts w:ascii="Bookman Old Style" w:hAnsi="Bookman Old Style"/>
          <w:b/>
          <w:bCs/>
          <w:sz w:val="26"/>
          <w:szCs w:val="26"/>
        </w:rPr>
        <w:t xml:space="preserve"> Amendment rights as applied to the State of California by and through the Due Process Clause of the 14</w:t>
      </w:r>
      <w:r w:rsidR="000578F4" w:rsidRPr="003E500B">
        <w:rPr>
          <w:rFonts w:ascii="Bookman Old Style" w:hAnsi="Bookman Old Style"/>
          <w:b/>
          <w:bCs/>
          <w:sz w:val="26"/>
          <w:szCs w:val="26"/>
          <w:vertAlign w:val="superscript"/>
        </w:rPr>
        <w:t>th</w:t>
      </w:r>
      <w:r w:rsidR="000578F4" w:rsidRPr="003E500B">
        <w:rPr>
          <w:rFonts w:ascii="Bookman Old Style" w:hAnsi="Bookman Old Style"/>
          <w:b/>
          <w:bCs/>
          <w:sz w:val="26"/>
          <w:szCs w:val="26"/>
        </w:rPr>
        <w:t xml:space="preserve"> Amendment.</w:t>
      </w:r>
    </w:p>
    <w:p w:rsidR="003E500B" w:rsidRDefault="003E500B" w:rsidP="003E500B">
      <w:pPr>
        <w:spacing w:line="240" w:lineRule="auto"/>
        <w:rPr>
          <w:rFonts w:ascii="Bookman Old Style" w:hAnsi="Bookman Old Style"/>
          <w:b/>
          <w:bCs/>
          <w:sz w:val="22"/>
          <w:szCs w:val="22"/>
        </w:rPr>
      </w:pPr>
    </w:p>
    <w:p w:rsidR="003E500B" w:rsidRPr="003E500B" w:rsidRDefault="003E500B" w:rsidP="003E500B">
      <w:pPr>
        <w:spacing w:line="360" w:lineRule="auto"/>
        <w:ind w:firstLine="720"/>
        <w:rPr>
          <w:rFonts w:ascii="Bookman Old Style" w:hAnsi="Bookman Old Style"/>
          <w:sz w:val="26"/>
          <w:szCs w:val="26"/>
        </w:rPr>
      </w:pPr>
      <w:r w:rsidRPr="003E500B">
        <w:rPr>
          <w:rFonts w:ascii="Bookman Old Style" w:hAnsi="Bookman Old Style"/>
          <w:sz w:val="26"/>
          <w:szCs w:val="26"/>
        </w:rPr>
        <w:t xml:space="preserve">The </w:t>
      </w:r>
      <w:r>
        <w:rPr>
          <w:rFonts w:ascii="Bookman Old Style" w:hAnsi="Bookman Old Style"/>
          <w:sz w:val="26"/>
          <w:szCs w:val="26"/>
        </w:rPr>
        <w:t>search and seizure condition</w:t>
      </w:r>
      <w:r w:rsidRPr="003E500B">
        <w:rPr>
          <w:rFonts w:ascii="Bookman Old Style" w:hAnsi="Bookman Old Style"/>
          <w:sz w:val="26"/>
          <w:szCs w:val="26"/>
        </w:rPr>
        <w:t xml:space="preserve"> herein sought to be modified states that a condition of release is “WARRANTLESS SEARCH OF PERSONAL PHONES, COMPUTER, TABLET, CLOUD STORAGE, HARD DRIVES.” </w:t>
      </w:r>
      <w:r w:rsidR="00437CD3">
        <w:rPr>
          <w:rFonts w:ascii="Bookman Old Style" w:hAnsi="Bookman Old Style"/>
          <w:sz w:val="26"/>
          <w:szCs w:val="26"/>
        </w:rPr>
        <w:t xml:space="preserve"> See minute order attached hereto as Exhibit A.</w:t>
      </w:r>
    </w:p>
    <w:p w:rsidR="003E500B" w:rsidRPr="006F0BCB" w:rsidRDefault="0014554E" w:rsidP="006F0BCB">
      <w:pPr>
        <w:spacing w:line="360" w:lineRule="auto"/>
        <w:ind w:firstLine="720"/>
        <w:rPr>
          <w:rFonts w:ascii="Bookman Old Style" w:hAnsi="Bookman Old Style"/>
          <w:sz w:val="26"/>
          <w:szCs w:val="26"/>
        </w:rPr>
      </w:pPr>
      <w:r>
        <w:rPr>
          <w:rFonts w:ascii="Bookman Old Style" w:hAnsi="Bookman Old Style"/>
          <w:sz w:val="26"/>
          <w:szCs w:val="26"/>
        </w:rPr>
        <w:t>The</w:t>
      </w:r>
      <w:r w:rsidR="003E500B" w:rsidRPr="003E500B">
        <w:rPr>
          <w:rFonts w:ascii="Bookman Old Style" w:hAnsi="Bookman Old Style"/>
          <w:sz w:val="26"/>
          <w:szCs w:val="26"/>
        </w:rPr>
        <w:t xml:space="preserve"> text of the 4</w:t>
      </w:r>
      <w:r w:rsidR="003E500B" w:rsidRPr="003E500B">
        <w:rPr>
          <w:rFonts w:ascii="Bookman Old Style" w:hAnsi="Bookman Old Style"/>
          <w:sz w:val="26"/>
          <w:szCs w:val="26"/>
          <w:vertAlign w:val="superscript"/>
        </w:rPr>
        <w:t>th</w:t>
      </w:r>
      <w:r>
        <w:rPr>
          <w:rFonts w:ascii="Bookman Old Style" w:hAnsi="Bookman Old Style"/>
          <w:sz w:val="26"/>
          <w:szCs w:val="26"/>
        </w:rPr>
        <w:t xml:space="preserve"> Amendment </w:t>
      </w:r>
      <w:r w:rsidR="003E500B" w:rsidRPr="003E500B">
        <w:rPr>
          <w:rFonts w:ascii="Bookman Old Style" w:hAnsi="Bookman Old Style"/>
          <w:sz w:val="26"/>
          <w:szCs w:val="26"/>
        </w:rPr>
        <w:t xml:space="preserve">states: </w:t>
      </w:r>
    </w:p>
    <w:p w:rsidR="003E500B" w:rsidRDefault="003E500B" w:rsidP="003E500B">
      <w:pPr>
        <w:pStyle w:val="NormalWeb"/>
        <w:ind w:left="1440"/>
        <w:rPr>
          <w:rFonts w:ascii="Bookman Old Style" w:hAnsi="Bookman Old Style"/>
          <w:sz w:val="22"/>
          <w:szCs w:val="22"/>
        </w:rPr>
      </w:pPr>
      <w:r w:rsidRPr="003E500B">
        <w:rPr>
          <w:rFonts w:ascii="Bookman Old Style" w:hAnsi="Bookman Old Style"/>
          <w:sz w:val="22"/>
          <w:szCs w:val="22"/>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14554E" w:rsidRDefault="003E500B" w:rsidP="003E500B">
      <w:pPr>
        <w:pStyle w:val="NormalWeb"/>
        <w:spacing w:line="360" w:lineRule="auto"/>
        <w:ind w:firstLine="720"/>
        <w:rPr>
          <w:rFonts w:ascii="Bookman Old Style" w:hAnsi="Bookman Old Style"/>
          <w:sz w:val="26"/>
          <w:szCs w:val="26"/>
        </w:rPr>
      </w:pPr>
      <w:r w:rsidRPr="003E500B">
        <w:rPr>
          <w:rFonts w:ascii="Bookman Old Style" w:hAnsi="Bookman Old Style"/>
          <w:sz w:val="26"/>
          <w:szCs w:val="26"/>
        </w:rPr>
        <w:t>The 4</w:t>
      </w:r>
      <w:r w:rsidRPr="003E500B">
        <w:rPr>
          <w:rFonts w:ascii="Bookman Old Style" w:hAnsi="Bookman Old Style"/>
          <w:sz w:val="26"/>
          <w:szCs w:val="26"/>
          <w:vertAlign w:val="superscript"/>
        </w:rPr>
        <w:t>th</w:t>
      </w:r>
      <w:r w:rsidRPr="003E500B">
        <w:rPr>
          <w:rFonts w:ascii="Bookman Old Style" w:hAnsi="Bookman Old Style"/>
          <w:sz w:val="26"/>
          <w:szCs w:val="26"/>
        </w:rPr>
        <w:t xml:space="preserve"> Amendment has been affirmatively held by the U.S. Supreme Court to apply to the states.</w:t>
      </w:r>
      <w:r w:rsidRPr="003E500B">
        <w:rPr>
          <w:rStyle w:val="FootnoteReference"/>
          <w:rFonts w:ascii="Bookman Old Style" w:hAnsi="Bookman Old Style"/>
          <w:sz w:val="26"/>
          <w:szCs w:val="26"/>
        </w:rPr>
        <w:footnoteReference w:id="1"/>
      </w:r>
      <w:r w:rsidR="00830322">
        <w:rPr>
          <w:rFonts w:ascii="Bookman Old Style" w:hAnsi="Bookman Old Style"/>
          <w:sz w:val="26"/>
          <w:szCs w:val="26"/>
        </w:rPr>
        <w:t xml:space="preserve"> </w:t>
      </w:r>
      <w:r w:rsidR="00BE3392">
        <w:rPr>
          <w:rFonts w:ascii="Bookman Old Style" w:hAnsi="Bookman Old Style"/>
          <w:sz w:val="26"/>
          <w:szCs w:val="26"/>
        </w:rPr>
        <w:t>Federal</w:t>
      </w:r>
      <w:r w:rsidR="00830322">
        <w:rPr>
          <w:rFonts w:ascii="Bookman Old Style" w:hAnsi="Bookman Old Style"/>
          <w:sz w:val="26"/>
          <w:szCs w:val="26"/>
        </w:rPr>
        <w:t xml:space="preserve"> court</w:t>
      </w:r>
      <w:r w:rsidR="00BE3392">
        <w:rPr>
          <w:rFonts w:ascii="Bookman Old Style" w:hAnsi="Bookman Old Style"/>
          <w:sz w:val="26"/>
          <w:szCs w:val="26"/>
        </w:rPr>
        <w:t>s</w:t>
      </w:r>
      <w:r w:rsidR="00830322">
        <w:rPr>
          <w:rFonts w:ascii="Bookman Old Style" w:hAnsi="Bookman Old Style"/>
          <w:sz w:val="26"/>
          <w:szCs w:val="26"/>
        </w:rPr>
        <w:t xml:space="preserve"> </w:t>
      </w:r>
      <w:r w:rsidR="00BE3392">
        <w:rPr>
          <w:rFonts w:ascii="Bookman Old Style" w:hAnsi="Bookman Old Style"/>
          <w:sz w:val="26"/>
          <w:szCs w:val="26"/>
        </w:rPr>
        <w:t>have consistently</w:t>
      </w:r>
      <w:r w:rsidR="00830322">
        <w:rPr>
          <w:rFonts w:ascii="Bookman Old Style" w:hAnsi="Bookman Old Style"/>
          <w:sz w:val="26"/>
          <w:szCs w:val="26"/>
        </w:rPr>
        <w:t xml:space="preserve"> held that there is an expectation of privacy in personal electronic devices such as phones sufficient to invoke the protections of the 4</w:t>
      </w:r>
      <w:r w:rsidR="00830322" w:rsidRPr="00830322">
        <w:rPr>
          <w:rFonts w:ascii="Bookman Old Style" w:hAnsi="Bookman Old Style"/>
          <w:sz w:val="26"/>
          <w:szCs w:val="26"/>
          <w:vertAlign w:val="superscript"/>
        </w:rPr>
        <w:t>th</w:t>
      </w:r>
      <w:r w:rsidR="00830322">
        <w:rPr>
          <w:rFonts w:ascii="Bookman Old Style" w:hAnsi="Bookman Old Style"/>
          <w:sz w:val="26"/>
          <w:szCs w:val="26"/>
        </w:rPr>
        <w:t xml:space="preserve"> Amendment.</w:t>
      </w:r>
      <w:r w:rsidR="00830322">
        <w:rPr>
          <w:rStyle w:val="FootnoteReference"/>
          <w:rFonts w:ascii="Bookman Old Style" w:hAnsi="Bookman Old Style"/>
          <w:sz w:val="26"/>
          <w:szCs w:val="26"/>
        </w:rPr>
        <w:footnoteReference w:id="2"/>
      </w:r>
      <w:r w:rsidR="00830322">
        <w:rPr>
          <w:rFonts w:ascii="Bookman Old Style" w:hAnsi="Bookman Old Style"/>
          <w:sz w:val="26"/>
          <w:szCs w:val="26"/>
        </w:rPr>
        <w:t xml:space="preserve"> </w:t>
      </w:r>
    </w:p>
    <w:p w:rsidR="00B80870" w:rsidRDefault="00775050" w:rsidP="003E500B">
      <w:pPr>
        <w:pStyle w:val="NormalWeb"/>
        <w:spacing w:line="360" w:lineRule="auto"/>
        <w:ind w:firstLine="720"/>
        <w:rPr>
          <w:rFonts w:ascii="Bookman Old Style" w:hAnsi="Bookman Old Style"/>
          <w:sz w:val="26"/>
          <w:szCs w:val="26"/>
        </w:rPr>
      </w:pPr>
      <w:r>
        <w:rPr>
          <w:rFonts w:ascii="Bookman Old Style" w:hAnsi="Bookman Old Style"/>
          <w:sz w:val="26"/>
          <w:szCs w:val="26"/>
        </w:rPr>
        <w:lastRenderedPageBreak/>
        <w:t xml:space="preserve">The seminal </w:t>
      </w:r>
      <w:r w:rsidR="00693CE1">
        <w:rPr>
          <w:rFonts w:ascii="Bookman Old Style" w:hAnsi="Bookman Old Style"/>
          <w:sz w:val="26"/>
          <w:szCs w:val="26"/>
        </w:rPr>
        <w:t xml:space="preserve">California case allowing </w:t>
      </w:r>
      <w:r>
        <w:rPr>
          <w:rFonts w:ascii="Bookman Old Style" w:hAnsi="Bookman Old Style"/>
          <w:sz w:val="26"/>
          <w:szCs w:val="26"/>
        </w:rPr>
        <w:t xml:space="preserve">courts to impose a waiver of defendants’ Fourth Amendment rights as a condition of pre-trial release is </w:t>
      </w:r>
      <w:r w:rsidRPr="00693CE1">
        <w:rPr>
          <w:i/>
          <w:iCs/>
          <w:sz w:val="26"/>
          <w:szCs w:val="26"/>
        </w:rPr>
        <w:t>In re York</w:t>
      </w:r>
      <w:r w:rsidRPr="00693CE1">
        <w:rPr>
          <w:sz w:val="26"/>
          <w:szCs w:val="26"/>
        </w:rPr>
        <w:t xml:space="preserve"> (1995)  9 Cal. 4</w:t>
      </w:r>
      <w:r w:rsidRPr="00693CE1">
        <w:rPr>
          <w:sz w:val="26"/>
          <w:szCs w:val="26"/>
          <w:vertAlign w:val="superscript"/>
        </w:rPr>
        <w:t>th</w:t>
      </w:r>
      <w:r w:rsidRPr="00693CE1">
        <w:rPr>
          <w:sz w:val="26"/>
          <w:szCs w:val="26"/>
        </w:rPr>
        <w:t xml:space="preserve"> 1133, 1149.</w:t>
      </w:r>
      <w:r>
        <w:t xml:space="preserve">  </w:t>
      </w:r>
      <w:r w:rsidR="000A56C8">
        <w:rPr>
          <w:rFonts w:ascii="Bookman Old Style" w:hAnsi="Bookman Old Style"/>
          <w:sz w:val="26"/>
          <w:szCs w:val="26"/>
        </w:rPr>
        <w:t>However, in 2006 t</w:t>
      </w:r>
      <w:r w:rsidR="00830322">
        <w:rPr>
          <w:rFonts w:ascii="Bookman Old Style" w:hAnsi="Bookman Old Style"/>
          <w:sz w:val="26"/>
          <w:szCs w:val="26"/>
        </w:rPr>
        <w:t>he Ninth Circuit held that conditions of pre-trial release requiring a defendant to waive 4</w:t>
      </w:r>
      <w:r w:rsidR="00830322" w:rsidRPr="00830322">
        <w:rPr>
          <w:rFonts w:ascii="Bookman Old Style" w:hAnsi="Bookman Old Style"/>
          <w:sz w:val="26"/>
          <w:szCs w:val="26"/>
          <w:vertAlign w:val="superscript"/>
        </w:rPr>
        <w:t>th</w:t>
      </w:r>
      <w:r w:rsidR="00830322">
        <w:rPr>
          <w:rFonts w:ascii="Bookman Old Style" w:hAnsi="Bookman Old Style"/>
          <w:sz w:val="26"/>
          <w:szCs w:val="26"/>
        </w:rPr>
        <w:t xml:space="preserve"> Amendment protections are </w:t>
      </w:r>
      <w:r w:rsidR="00693CE1">
        <w:rPr>
          <w:rFonts w:ascii="Bookman Old Style" w:hAnsi="Bookman Old Style"/>
          <w:sz w:val="26"/>
          <w:szCs w:val="26"/>
        </w:rPr>
        <w:t xml:space="preserve">an </w:t>
      </w:r>
      <w:r w:rsidR="00830322">
        <w:rPr>
          <w:rFonts w:ascii="Bookman Old Style" w:hAnsi="Bookman Old Style"/>
          <w:sz w:val="26"/>
          <w:szCs w:val="26"/>
        </w:rPr>
        <w:t>invalid condition</w:t>
      </w:r>
      <w:r w:rsidR="000A56C8">
        <w:rPr>
          <w:rFonts w:ascii="Bookman Old Style" w:hAnsi="Bookman Old Style"/>
          <w:sz w:val="26"/>
          <w:szCs w:val="26"/>
        </w:rPr>
        <w:t xml:space="preserve"> of pretrial release</w:t>
      </w:r>
      <w:r w:rsidR="00830322">
        <w:rPr>
          <w:rFonts w:ascii="Bookman Old Style" w:hAnsi="Bookman Old Style"/>
          <w:sz w:val="26"/>
          <w:szCs w:val="26"/>
        </w:rPr>
        <w:t>.</w:t>
      </w:r>
      <w:r w:rsidR="00830322">
        <w:rPr>
          <w:rStyle w:val="FootnoteReference"/>
          <w:rFonts w:ascii="Bookman Old Style" w:hAnsi="Bookman Old Style"/>
          <w:sz w:val="26"/>
          <w:szCs w:val="26"/>
        </w:rPr>
        <w:footnoteReference w:id="3"/>
      </w:r>
      <w:r w:rsidR="00830322">
        <w:rPr>
          <w:rFonts w:ascii="Bookman Old Style" w:hAnsi="Bookman Old Style"/>
          <w:sz w:val="26"/>
          <w:szCs w:val="26"/>
        </w:rPr>
        <w:t xml:space="preserve"> </w:t>
      </w:r>
      <w:r w:rsidR="00F65F0B">
        <w:rPr>
          <w:rFonts w:ascii="Bookman Old Style" w:hAnsi="Bookman Old Style"/>
          <w:sz w:val="26"/>
          <w:szCs w:val="26"/>
        </w:rPr>
        <w:t xml:space="preserve"> </w:t>
      </w:r>
      <w:r w:rsidR="00B85103">
        <w:rPr>
          <w:rFonts w:ascii="Bookman Old Style" w:hAnsi="Bookman Old Style"/>
          <w:sz w:val="26"/>
          <w:szCs w:val="26"/>
        </w:rPr>
        <w:t xml:space="preserve">In footnote 1 of the </w:t>
      </w:r>
      <w:r w:rsidR="00B85103">
        <w:rPr>
          <w:rFonts w:ascii="Bookman Old Style" w:hAnsi="Bookman Old Style"/>
          <w:i/>
          <w:sz w:val="26"/>
          <w:szCs w:val="26"/>
        </w:rPr>
        <w:t xml:space="preserve">Scott </w:t>
      </w:r>
      <w:r w:rsidR="00B85103">
        <w:rPr>
          <w:rFonts w:ascii="Bookman Old Style" w:hAnsi="Bookman Old Style"/>
          <w:sz w:val="26"/>
          <w:szCs w:val="26"/>
        </w:rPr>
        <w:t xml:space="preserve">opinion the court stated, </w:t>
      </w:r>
    </w:p>
    <w:p w:rsidR="003E500B" w:rsidRPr="00766298" w:rsidRDefault="007F3AD0" w:rsidP="005746B6">
      <w:pPr>
        <w:pStyle w:val="NormalWeb"/>
        <w:ind w:left="720" w:right="720"/>
        <w:rPr>
          <w:rFonts w:ascii="Bookman Old Style" w:hAnsi="Bookman Old Style"/>
          <w:sz w:val="26"/>
          <w:szCs w:val="26"/>
        </w:rPr>
      </w:pPr>
      <w:r>
        <w:rPr>
          <w:rFonts w:ascii="Bookman Old Style" w:hAnsi="Bookman Old Style"/>
          <w:sz w:val="26"/>
          <w:szCs w:val="26"/>
        </w:rPr>
        <w:t>The dissent points to only two states whose supreme co</w:t>
      </w:r>
      <w:r w:rsidR="00766298">
        <w:rPr>
          <w:rFonts w:ascii="Bookman Old Style" w:hAnsi="Bookman Old Style"/>
          <w:sz w:val="26"/>
          <w:szCs w:val="26"/>
        </w:rPr>
        <w:t>urts have addressed this issue:  Maine and California [ME citation omitted</w:t>
      </w:r>
      <w:r w:rsidR="00B80870">
        <w:rPr>
          <w:rFonts w:ascii="Bookman Old Style" w:hAnsi="Bookman Old Style"/>
          <w:sz w:val="26"/>
          <w:szCs w:val="26"/>
        </w:rPr>
        <w:t>]</w:t>
      </w:r>
      <w:r w:rsidR="00766298">
        <w:rPr>
          <w:rFonts w:ascii="Bookman Old Style" w:hAnsi="Bookman Old Style"/>
          <w:sz w:val="26"/>
          <w:szCs w:val="26"/>
        </w:rPr>
        <w:t xml:space="preserve"> (</w:t>
      </w:r>
      <w:r w:rsidR="00766298">
        <w:rPr>
          <w:rFonts w:ascii="Bookman Old Style" w:hAnsi="Bookman Old Style"/>
          <w:i/>
          <w:sz w:val="26"/>
          <w:szCs w:val="26"/>
        </w:rPr>
        <w:t xml:space="preserve">In re York, </w:t>
      </w:r>
      <w:r w:rsidR="00766298">
        <w:rPr>
          <w:rFonts w:ascii="Bookman Old Style" w:hAnsi="Bookman Old Style"/>
          <w:sz w:val="26"/>
          <w:szCs w:val="26"/>
        </w:rPr>
        <w:t>9 Cal.4</w:t>
      </w:r>
      <w:r w:rsidR="00766298" w:rsidRPr="00766298">
        <w:rPr>
          <w:rFonts w:ascii="Bookman Old Style" w:hAnsi="Bookman Old Style"/>
          <w:sz w:val="26"/>
          <w:szCs w:val="26"/>
          <w:vertAlign w:val="superscript"/>
        </w:rPr>
        <w:t>th</w:t>
      </w:r>
      <w:r w:rsidR="00766298">
        <w:rPr>
          <w:rFonts w:ascii="Bookman Old Style" w:hAnsi="Bookman Old Style"/>
          <w:sz w:val="26"/>
          <w:szCs w:val="26"/>
        </w:rPr>
        <w:t xml:space="preserve"> 1133, 40 Cal.Rptr.2d 308, 892 P.2d 804 (1995).  It is unclear whether those cases would come out the same way today, as both were decided before </w:t>
      </w:r>
      <w:r w:rsidR="00766298">
        <w:rPr>
          <w:rFonts w:ascii="Bookman Old Style" w:hAnsi="Bookman Old Style"/>
          <w:i/>
          <w:sz w:val="26"/>
          <w:szCs w:val="26"/>
        </w:rPr>
        <w:t xml:space="preserve">United States v. Knights, </w:t>
      </w:r>
      <w:r w:rsidR="00766298">
        <w:rPr>
          <w:rFonts w:ascii="Bookman Old Style" w:hAnsi="Bookman Old Style"/>
          <w:sz w:val="26"/>
          <w:szCs w:val="26"/>
        </w:rPr>
        <w:t>534 U.S. 112, 122 S.Ct 587, 151 L.Ed.</w:t>
      </w:r>
      <w:r w:rsidR="005746B6">
        <w:rPr>
          <w:rFonts w:ascii="Bookman Old Style" w:hAnsi="Bookman Old Style"/>
          <w:sz w:val="26"/>
          <w:szCs w:val="26"/>
        </w:rPr>
        <w:t>2d 1281, 149 L.Ed.2d 205 (2001)</w:t>
      </w:r>
    </w:p>
    <w:p w:rsidR="00980792" w:rsidRDefault="00980792" w:rsidP="00980792">
      <w:pPr>
        <w:shd w:val="clear" w:color="auto" w:fill="FFFFFF"/>
        <w:ind w:firstLine="720"/>
        <w:rPr>
          <w:rFonts w:asciiTheme="majorHAnsi" w:eastAsia="Times New Roman" w:hAnsiTheme="majorHAnsi" w:cstheme="majorHAnsi"/>
          <w:color w:val="000000"/>
          <w:sz w:val="28"/>
          <w:szCs w:val="28"/>
          <w:lang w:eastAsia="en-US"/>
        </w:rPr>
      </w:pPr>
      <w:r>
        <w:rPr>
          <w:rFonts w:ascii="Bookman Old Style" w:hAnsi="Bookman Old Style"/>
          <w:sz w:val="26"/>
          <w:szCs w:val="26"/>
        </w:rPr>
        <w:t xml:space="preserve">California state courts are bound by United States Supreme Court decisions regarding constitution laws, but are not bound by lower federal court decisions, even on federal questions.  </w:t>
      </w:r>
      <w:r w:rsidRPr="00980792">
        <w:rPr>
          <w:rFonts w:asciiTheme="majorHAnsi" w:hAnsiTheme="majorHAnsi" w:cstheme="majorHAnsi"/>
          <w:sz w:val="28"/>
          <w:szCs w:val="28"/>
        </w:rPr>
        <w:t>“</w:t>
      </w:r>
      <w:r w:rsidRPr="00980792">
        <w:rPr>
          <w:rFonts w:asciiTheme="majorHAnsi" w:eastAsia="Times New Roman" w:hAnsiTheme="majorHAnsi" w:cstheme="majorHAnsi"/>
          <w:color w:val="000000"/>
          <w:sz w:val="28"/>
          <w:szCs w:val="28"/>
          <w:lang w:eastAsia="en-US"/>
        </w:rPr>
        <w:t>However, they are persuasive and entitled to great weight.”</w:t>
      </w:r>
      <w:r>
        <w:rPr>
          <w:rStyle w:val="FootnoteReference"/>
          <w:rFonts w:asciiTheme="majorHAnsi" w:eastAsia="Times New Roman" w:hAnsiTheme="majorHAnsi" w:cstheme="majorHAnsi"/>
          <w:color w:val="000000"/>
          <w:sz w:val="28"/>
          <w:szCs w:val="28"/>
          <w:lang w:eastAsia="en-US"/>
        </w:rPr>
        <w:footnoteReference w:id="4"/>
      </w:r>
    </w:p>
    <w:p w:rsidR="005746B6" w:rsidRDefault="005746B6" w:rsidP="005746B6">
      <w:pPr>
        <w:shd w:val="clear" w:color="auto" w:fill="FFFFFF"/>
        <w:ind w:firstLine="0"/>
        <w:rPr>
          <w:rFonts w:asciiTheme="majorHAnsi" w:eastAsia="Times New Roman" w:hAnsiTheme="majorHAnsi" w:cstheme="majorHAnsi"/>
          <w:color w:val="000000"/>
          <w:sz w:val="28"/>
          <w:szCs w:val="28"/>
          <w:lang w:eastAsia="en-US"/>
        </w:rPr>
      </w:pPr>
      <w:r>
        <w:rPr>
          <w:rFonts w:asciiTheme="majorHAnsi" w:eastAsia="Times New Roman" w:hAnsiTheme="majorHAnsi" w:cstheme="majorHAnsi"/>
          <w:color w:val="000000"/>
          <w:sz w:val="28"/>
          <w:szCs w:val="28"/>
          <w:lang w:eastAsia="en-US"/>
        </w:rPr>
        <w:t>///</w:t>
      </w:r>
    </w:p>
    <w:p w:rsidR="005746B6" w:rsidRDefault="005746B6" w:rsidP="005746B6">
      <w:pPr>
        <w:shd w:val="clear" w:color="auto" w:fill="FFFFFF"/>
        <w:ind w:firstLine="0"/>
        <w:rPr>
          <w:rFonts w:asciiTheme="majorHAnsi" w:eastAsia="Times New Roman" w:hAnsiTheme="majorHAnsi" w:cstheme="majorHAnsi"/>
          <w:color w:val="000000"/>
          <w:sz w:val="28"/>
          <w:szCs w:val="28"/>
          <w:lang w:eastAsia="en-US"/>
        </w:rPr>
      </w:pPr>
      <w:r>
        <w:rPr>
          <w:rFonts w:asciiTheme="majorHAnsi" w:eastAsia="Times New Roman" w:hAnsiTheme="majorHAnsi" w:cstheme="majorHAnsi"/>
          <w:color w:val="000000"/>
          <w:sz w:val="28"/>
          <w:szCs w:val="28"/>
          <w:lang w:eastAsia="en-US"/>
        </w:rPr>
        <w:t>///</w:t>
      </w:r>
    </w:p>
    <w:p w:rsidR="005746B6" w:rsidRPr="00980792" w:rsidRDefault="005746B6" w:rsidP="005746B6">
      <w:pPr>
        <w:shd w:val="clear" w:color="auto" w:fill="FFFFFF"/>
        <w:ind w:firstLine="0"/>
        <w:rPr>
          <w:rFonts w:asciiTheme="majorHAnsi" w:eastAsia="Times New Roman" w:hAnsiTheme="majorHAnsi" w:cstheme="majorHAnsi"/>
          <w:color w:val="000000"/>
          <w:sz w:val="28"/>
          <w:szCs w:val="28"/>
          <w:lang w:eastAsia="en-US"/>
        </w:rPr>
      </w:pPr>
      <w:r>
        <w:rPr>
          <w:rFonts w:asciiTheme="majorHAnsi" w:eastAsia="Times New Roman" w:hAnsiTheme="majorHAnsi" w:cstheme="majorHAnsi"/>
          <w:color w:val="000000"/>
          <w:sz w:val="28"/>
          <w:szCs w:val="28"/>
          <w:lang w:eastAsia="en-US"/>
        </w:rPr>
        <w:t>///</w:t>
      </w:r>
    </w:p>
    <w:p w:rsidR="00B80870" w:rsidRPr="00B7060A" w:rsidRDefault="00B7060A" w:rsidP="00B7060A">
      <w:pPr>
        <w:pStyle w:val="NormalWeb"/>
        <w:numPr>
          <w:ilvl w:val="0"/>
          <w:numId w:val="14"/>
        </w:numPr>
        <w:spacing w:line="480" w:lineRule="auto"/>
        <w:rPr>
          <w:rFonts w:ascii="Bookman Old Style" w:hAnsi="Bookman Old Style"/>
          <w:sz w:val="26"/>
          <w:szCs w:val="26"/>
        </w:rPr>
      </w:pPr>
      <w:r>
        <w:rPr>
          <w:rFonts w:ascii="Bookman Old Style" w:hAnsi="Bookman Old Style"/>
          <w:sz w:val="26"/>
          <w:szCs w:val="26"/>
          <w:u w:val="single"/>
        </w:rPr>
        <w:lastRenderedPageBreak/>
        <w:t xml:space="preserve">The Ninth Circuit’s </w:t>
      </w:r>
      <w:r>
        <w:rPr>
          <w:rFonts w:ascii="Bookman Old Style" w:hAnsi="Bookman Old Style"/>
          <w:i/>
          <w:sz w:val="26"/>
          <w:szCs w:val="26"/>
          <w:u w:val="single"/>
        </w:rPr>
        <w:t xml:space="preserve">Scott </w:t>
      </w:r>
      <w:r>
        <w:rPr>
          <w:rFonts w:ascii="Bookman Old Style" w:hAnsi="Bookman Old Style"/>
          <w:sz w:val="26"/>
          <w:szCs w:val="26"/>
          <w:u w:val="single"/>
        </w:rPr>
        <w:t>Analysis:</w:t>
      </w:r>
    </w:p>
    <w:p w:rsidR="00B7060A" w:rsidRPr="00B7060A" w:rsidRDefault="00B7060A" w:rsidP="00B7060A">
      <w:pPr>
        <w:pStyle w:val="NormalWeb"/>
        <w:spacing w:line="480" w:lineRule="auto"/>
        <w:ind w:firstLine="360"/>
        <w:rPr>
          <w:rFonts w:ascii="Bookman Old Style" w:hAnsi="Bookman Old Style"/>
          <w:sz w:val="26"/>
          <w:szCs w:val="26"/>
        </w:rPr>
      </w:pPr>
      <w:r>
        <w:rPr>
          <w:rFonts w:ascii="Bookman Old Style" w:hAnsi="Bookman Old Style"/>
          <w:sz w:val="26"/>
          <w:szCs w:val="26"/>
        </w:rPr>
        <w:t>Raymond Lee Scott was arrested in Nevada on state charges of drug possession.</w:t>
      </w:r>
      <w:r w:rsidR="00C043F9">
        <w:rPr>
          <w:rFonts w:ascii="Bookman Old Style" w:hAnsi="Bookman Old Style"/>
          <w:sz w:val="26"/>
          <w:szCs w:val="26"/>
        </w:rPr>
        <w:t xml:space="preserve">  In order to qualify for release from custody, Mr. Scott was required to sign a form consenting to a standard list of pretrial release conditions, including random drug testing and a search of his home for drugs by any peace officer, at any time, with or without a warrant.</w:t>
      </w:r>
      <w:r w:rsidR="00C043F9">
        <w:rPr>
          <w:rStyle w:val="FootnoteReference"/>
          <w:rFonts w:ascii="Bookman Old Style" w:hAnsi="Bookman Old Style"/>
          <w:sz w:val="26"/>
          <w:szCs w:val="26"/>
        </w:rPr>
        <w:footnoteReference w:id="5"/>
      </w:r>
    </w:p>
    <w:p w:rsidR="00B80870" w:rsidRDefault="00E02145" w:rsidP="005746B6">
      <w:pPr>
        <w:pStyle w:val="NormalWeb"/>
        <w:spacing w:line="360" w:lineRule="auto"/>
        <w:ind w:firstLine="720"/>
        <w:rPr>
          <w:rFonts w:ascii="Bookman Old Style" w:hAnsi="Bookman Old Style"/>
          <w:sz w:val="26"/>
          <w:szCs w:val="26"/>
        </w:rPr>
      </w:pPr>
      <w:r>
        <w:rPr>
          <w:rFonts w:ascii="Bookman Old Style" w:hAnsi="Bookman Old Style"/>
          <w:sz w:val="26"/>
          <w:szCs w:val="26"/>
        </w:rPr>
        <w:t xml:space="preserve">Based on an informant’s tip, state police officers went to Scott’s home and drug tested him.  The test was positive for methamphetamine.  Based on the positive test, Mr. Scott was arrested and his home was searched.  An unregistered shotgun was found.  Scott was subsequently indicted for unlawful possession of an unregistered shotgun.  Mr. Scott brought a motion to suppress </w:t>
      </w:r>
      <w:r w:rsidR="005746B6">
        <w:rPr>
          <w:rFonts w:ascii="Bookman Old Style" w:hAnsi="Bookman Old Style"/>
          <w:sz w:val="26"/>
          <w:szCs w:val="26"/>
        </w:rPr>
        <w:t xml:space="preserve">both </w:t>
      </w:r>
      <w:r>
        <w:rPr>
          <w:rFonts w:ascii="Bookman Old Style" w:hAnsi="Bookman Old Style"/>
          <w:sz w:val="26"/>
          <w:szCs w:val="26"/>
        </w:rPr>
        <w:t>the shotgun and his statements to police regarding the shotgun.</w:t>
      </w:r>
      <w:r w:rsidR="00602E73">
        <w:rPr>
          <w:rFonts w:ascii="Bookman Old Style" w:hAnsi="Bookman Old Style"/>
          <w:sz w:val="26"/>
          <w:szCs w:val="26"/>
        </w:rPr>
        <w:t xml:space="preserve">  Mr. Scott’s suppression motion was granted and the government appealed.</w:t>
      </w:r>
      <w:r w:rsidR="00602E73">
        <w:rPr>
          <w:rStyle w:val="FootnoteReference"/>
          <w:rFonts w:ascii="Bookman Old Style" w:hAnsi="Bookman Old Style"/>
          <w:sz w:val="26"/>
          <w:szCs w:val="26"/>
        </w:rPr>
        <w:footnoteReference w:id="6"/>
      </w:r>
    </w:p>
    <w:p w:rsidR="003007E8" w:rsidRDefault="009F2B27" w:rsidP="003E500B">
      <w:pPr>
        <w:pStyle w:val="NormalWeb"/>
        <w:spacing w:line="360" w:lineRule="auto"/>
        <w:ind w:firstLine="720"/>
        <w:rPr>
          <w:rFonts w:ascii="Bookman Old Style" w:hAnsi="Bookman Old Style"/>
          <w:sz w:val="26"/>
          <w:szCs w:val="26"/>
        </w:rPr>
      </w:pPr>
      <w:r>
        <w:rPr>
          <w:rFonts w:ascii="Bookman Old Style" w:hAnsi="Bookman Old Style"/>
          <w:sz w:val="26"/>
          <w:szCs w:val="26"/>
        </w:rPr>
        <w:t xml:space="preserve">The </w:t>
      </w:r>
      <w:r>
        <w:rPr>
          <w:rFonts w:ascii="Bookman Old Style" w:hAnsi="Bookman Old Style"/>
          <w:i/>
          <w:sz w:val="26"/>
          <w:szCs w:val="26"/>
        </w:rPr>
        <w:t xml:space="preserve">Scott </w:t>
      </w:r>
      <w:r>
        <w:rPr>
          <w:rFonts w:ascii="Bookman Old Style" w:hAnsi="Bookman Old Style"/>
          <w:sz w:val="26"/>
          <w:szCs w:val="26"/>
        </w:rPr>
        <w:t>court first examined whether the drug test and search of Mr. Scott’s home were valid because Mr. Scott consented to them.</w:t>
      </w:r>
      <w:r>
        <w:rPr>
          <w:rStyle w:val="FootnoteReference"/>
          <w:rFonts w:ascii="Bookman Old Style" w:hAnsi="Bookman Old Style"/>
          <w:sz w:val="26"/>
          <w:szCs w:val="26"/>
        </w:rPr>
        <w:footnoteReference w:id="7"/>
      </w:r>
      <w:r>
        <w:rPr>
          <w:rFonts w:ascii="Bookman Old Style" w:hAnsi="Bookman Old Style"/>
          <w:sz w:val="26"/>
          <w:szCs w:val="26"/>
        </w:rPr>
        <w:t xml:space="preserve">  In finding that they were not, the court pointed to the “unconstitutional conditions doctrine.”</w:t>
      </w:r>
      <w:r>
        <w:rPr>
          <w:rStyle w:val="FootnoteReference"/>
          <w:rFonts w:ascii="Bookman Old Style" w:hAnsi="Bookman Old Style"/>
          <w:sz w:val="26"/>
          <w:szCs w:val="26"/>
        </w:rPr>
        <w:footnoteReference w:id="8"/>
      </w:r>
      <w:r>
        <w:rPr>
          <w:rFonts w:ascii="Bookman Old Style" w:hAnsi="Bookman Old Style"/>
          <w:sz w:val="26"/>
          <w:szCs w:val="26"/>
        </w:rPr>
        <w:t xml:space="preserve">  The court stated that the doctrine</w:t>
      </w:r>
      <w:r w:rsidR="007D7404">
        <w:rPr>
          <w:rFonts w:ascii="Bookman Old Style" w:hAnsi="Bookman Old Style"/>
          <w:sz w:val="26"/>
          <w:szCs w:val="26"/>
        </w:rPr>
        <w:t xml:space="preserve"> “limits the government’s ability to exact waivers of right</w:t>
      </w:r>
      <w:r w:rsidR="00512167">
        <w:rPr>
          <w:rFonts w:ascii="Bookman Old Style" w:hAnsi="Bookman Old Style"/>
          <w:sz w:val="26"/>
          <w:szCs w:val="26"/>
        </w:rPr>
        <w:t xml:space="preserve">s as a condition of benefits, </w:t>
      </w:r>
      <w:r w:rsidR="00512167">
        <w:rPr>
          <w:rFonts w:ascii="Bookman Old Style" w:hAnsi="Bookman Old Style"/>
          <w:sz w:val="26"/>
          <w:szCs w:val="26"/>
        </w:rPr>
        <w:lastRenderedPageBreak/>
        <w:t>ev</w:t>
      </w:r>
      <w:r w:rsidR="007D7404">
        <w:rPr>
          <w:rFonts w:ascii="Bookman Old Style" w:hAnsi="Bookman Old Style"/>
          <w:sz w:val="26"/>
          <w:szCs w:val="26"/>
        </w:rPr>
        <w:t>en when those benefits are fully discretionary.”</w:t>
      </w:r>
      <w:r w:rsidR="007D7404">
        <w:rPr>
          <w:rStyle w:val="FootnoteReference"/>
          <w:rFonts w:ascii="Bookman Old Style" w:hAnsi="Bookman Old Style"/>
          <w:sz w:val="26"/>
          <w:szCs w:val="26"/>
        </w:rPr>
        <w:footnoteReference w:id="9"/>
      </w:r>
      <w:r w:rsidR="007D7404">
        <w:rPr>
          <w:rFonts w:ascii="Bookman Old Style" w:hAnsi="Bookman Old Style"/>
          <w:sz w:val="26"/>
          <w:szCs w:val="26"/>
        </w:rPr>
        <w:t xml:space="preserve">  This is because the law does not give “the government free rein to grant conditional benefits by attaching strings strategically, striking lopsided deals and gradually eroding constitutional protections.”</w:t>
      </w:r>
      <w:r w:rsidR="007D7404">
        <w:rPr>
          <w:rStyle w:val="FootnoteReference"/>
          <w:rFonts w:ascii="Bookman Old Style" w:hAnsi="Bookman Old Style"/>
          <w:sz w:val="26"/>
          <w:szCs w:val="26"/>
        </w:rPr>
        <w:footnoteReference w:id="10"/>
      </w:r>
      <w:r w:rsidR="00512167">
        <w:rPr>
          <w:rFonts w:ascii="Bookman Old Style" w:hAnsi="Bookman Old Style"/>
          <w:sz w:val="26"/>
          <w:szCs w:val="26"/>
        </w:rPr>
        <w:t xml:space="preserve">  The court noted that the unconstitutional conditions doctrine was “especially important in the Fourth Amendment context.”</w:t>
      </w:r>
      <w:r w:rsidR="00512167">
        <w:rPr>
          <w:rStyle w:val="FootnoteReference"/>
          <w:rFonts w:ascii="Bookman Old Style" w:hAnsi="Bookman Old Style"/>
          <w:sz w:val="26"/>
          <w:szCs w:val="26"/>
        </w:rPr>
        <w:footnoteReference w:id="11"/>
      </w:r>
    </w:p>
    <w:p w:rsidR="000D7A70" w:rsidRDefault="00A32905" w:rsidP="000D7A70">
      <w:pPr>
        <w:pStyle w:val="NormalWeb"/>
        <w:spacing w:line="360" w:lineRule="auto"/>
        <w:ind w:firstLine="720"/>
        <w:rPr>
          <w:rFonts w:ascii="Bookman Old Style" w:hAnsi="Bookman Old Style"/>
          <w:sz w:val="26"/>
          <w:szCs w:val="26"/>
        </w:rPr>
      </w:pPr>
      <w:r>
        <w:rPr>
          <w:rFonts w:ascii="Bookman Old Style" w:hAnsi="Bookman Old Style"/>
          <w:sz w:val="26"/>
          <w:szCs w:val="26"/>
        </w:rPr>
        <w:t>T</w:t>
      </w:r>
      <w:r w:rsidR="00245F51">
        <w:rPr>
          <w:rFonts w:ascii="Bookman Old Style" w:hAnsi="Bookman Old Style"/>
          <w:sz w:val="26"/>
          <w:szCs w:val="26"/>
        </w:rPr>
        <w:t xml:space="preserve">he court addressed the dissent’s argument that </w:t>
      </w:r>
      <w:r w:rsidR="005746B6">
        <w:rPr>
          <w:rFonts w:ascii="Bookman Old Style" w:hAnsi="Bookman Old Style"/>
          <w:sz w:val="26"/>
          <w:szCs w:val="26"/>
        </w:rPr>
        <w:t xml:space="preserve">Fourth Amendment </w:t>
      </w:r>
      <w:r w:rsidR="00245F51">
        <w:rPr>
          <w:rFonts w:ascii="Bookman Old Style" w:hAnsi="Bookman Old Style"/>
          <w:sz w:val="26"/>
          <w:szCs w:val="26"/>
        </w:rPr>
        <w:t>rights may be valid</w:t>
      </w:r>
      <w:r w:rsidR="000D7A70">
        <w:rPr>
          <w:rFonts w:ascii="Bookman Old Style" w:hAnsi="Bookman Old Style"/>
          <w:sz w:val="26"/>
          <w:szCs w:val="26"/>
        </w:rPr>
        <w:t>l</w:t>
      </w:r>
      <w:r w:rsidR="005746B6">
        <w:rPr>
          <w:rFonts w:ascii="Bookman Old Style" w:hAnsi="Bookman Old Style"/>
          <w:sz w:val="26"/>
          <w:szCs w:val="26"/>
        </w:rPr>
        <w:t>y waived.  T</w:t>
      </w:r>
      <w:r w:rsidR="00245F51">
        <w:rPr>
          <w:rFonts w:ascii="Bookman Old Style" w:hAnsi="Bookman Old Style"/>
          <w:sz w:val="26"/>
          <w:szCs w:val="26"/>
        </w:rPr>
        <w:t xml:space="preserve">he court stated, “[n]o one disputes that Fourth Amendment </w:t>
      </w:r>
      <w:r w:rsidR="000D7A70">
        <w:rPr>
          <w:rFonts w:ascii="Bookman Old Style" w:hAnsi="Bookman Old Style"/>
          <w:sz w:val="26"/>
          <w:szCs w:val="26"/>
        </w:rPr>
        <w:t xml:space="preserve">rights can be waived. [citations omitted]  The question here is whether the government can </w:t>
      </w:r>
      <w:r w:rsidR="000D7A70">
        <w:rPr>
          <w:rFonts w:ascii="Bookman Old Style" w:hAnsi="Bookman Old Style"/>
          <w:i/>
          <w:sz w:val="26"/>
          <w:szCs w:val="26"/>
        </w:rPr>
        <w:t>induce</w:t>
      </w:r>
      <w:r w:rsidR="000D7A70">
        <w:rPr>
          <w:rFonts w:ascii="Bookman Old Style" w:hAnsi="Bookman Old Style"/>
          <w:sz w:val="26"/>
          <w:szCs w:val="26"/>
        </w:rPr>
        <w:t xml:space="preserve"> Scott to waive his Fourth Amendment rights by conditioning pretrial release on such a waiver.”</w:t>
      </w:r>
      <w:r w:rsidR="000D7A70">
        <w:rPr>
          <w:rStyle w:val="FootnoteReference"/>
          <w:rFonts w:ascii="Bookman Old Style" w:hAnsi="Bookman Old Style"/>
          <w:sz w:val="26"/>
          <w:szCs w:val="26"/>
        </w:rPr>
        <w:footnoteReference w:id="12"/>
      </w:r>
      <w:r w:rsidR="000D7A70">
        <w:rPr>
          <w:rFonts w:ascii="Bookman Old Style" w:hAnsi="Bookman Old Style"/>
          <w:sz w:val="26"/>
          <w:szCs w:val="26"/>
        </w:rPr>
        <w:t xml:space="preserve">  “While government may sometimes condition benefits on waiver of Fourth Amendment rights . . . its power to do so is not unlimited.”</w:t>
      </w:r>
      <w:r w:rsidR="000D7A70">
        <w:rPr>
          <w:rStyle w:val="FootnoteReference"/>
          <w:rFonts w:ascii="Bookman Old Style" w:hAnsi="Bookman Old Style"/>
          <w:sz w:val="26"/>
          <w:szCs w:val="26"/>
        </w:rPr>
        <w:footnoteReference w:id="13"/>
      </w:r>
      <w:r w:rsidR="0008395C">
        <w:rPr>
          <w:rFonts w:ascii="Bookman Old Style" w:hAnsi="Bookman Old Style"/>
          <w:sz w:val="26"/>
          <w:szCs w:val="26"/>
        </w:rPr>
        <w:t xml:space="preserve">  The court further noted,</w:t>
      </w:r>
    </w:p>
    <w:p w:rsidR="0008395C" w:rsidRDefault="0008395C" w:rsidP="00A32905">
      <w:pPr>
        <w:pStyle w:val="NormalWeb"/>
        <w:ind w:left="720" w:right="720"/>
        <w:rPr>
          <w:rFonts w:ascii="Bookman Old Style" w:hAnsi="Bookman Old Style"/>
          <w:sz w:val="26"/>
          <w:szCs w:val="26"/>
        </w:rPr>
      </w:pPr>
      <w:r>
        <w:rPr>
          <w:rFonts w:ascii="Bookman Old Style" w:hAnsi="Bookman Old Style"/>
          <w:sz w:val="26"/>
          <w:szCs w:val="26"/>
        </w:rPr>
        <w:t>[U]nder the Excessive Bail Clause . . . “the Government’s proposed conditions of release or detention [must] not be ‘excessive’ in light of the perceived evil.” [citations omitt</w:t>
      </w:r>
      <w:r w:rsidR="00E63256">
        <w:rPr>
          <w:rFonts w:ascii="Bookman Old Style" w:hAnsi="Bookman Old Style"/>
          <w:sz w:val="26"/>
          <w:szCs w:val="26"/>
        </w:rPr>
        <w:t>ed]  There may thus be cases whe</w:t>
      </w:r>
      <w:r>
        <w:rPr>
          <w:rFonts w:ascii="Bookman Old Style" w:hAnsi="Bookman Old Style"/>
          <w:sz w:val="26"/>
          <w:szCs w:val="26"/>
        </w:rPr>
        <w:t>re the risk of flight is so slight that any amount of bail is excessive; release on one’s own recognizance would then be constitutionally required, which could further limit the government’s discretion to fashion conditions of release.</w:t>
      </w:r>
      <w:r w:rsidR="00A32905">
        <w:rPr>
          <w:rStyle w:val="FootnoteReference"/>
          <w:rFonts w:ascii="Bookman Old Style" w:hAnsi="Bookman Old Style"/>
          <w:sz w:val="26"/>
          <w:szCs w:val="26"/>
        </w:rPr>
        <w:footnoteReference w:id="14"/>
      </w:r>
    </w:p>
    <w:p w:rsidR="00A32905" w:rsidRDefault="00A32905" w:rsidP="00A32905">
      <w:pPr>
        <w:pStyle w:val="NormalWeb"/>
        <w:spacing w:line="480" w:lineRule="auto"/>
        <w:rPr>
          <w:rFonts w:ascii="Bookman Old Style" w:hAnsi="Bookman Old Style"/>
          <w:sz w:val="26"/>
          <w:szCs w:val="26"/>
        </w:rPr>
      </w:pPr>
      <w:r>
        <w:rPr>
          <w:rFonts w:ascii="Bookman Old Style" w:hAnsi="Bookman Old Style"/>
          <w:sz w:val="26"/>
          <w:szCs w:val="26"/>
        </w:rPr>
        <w:lastRenderedPageBreak/>
        <w:tab/>
        <w:t xml:space="preserve">The court then addressed the government’s “special needs” arguments.  </w:t>
      </w:r>
      <w:r w:rsidR="00EB15F4">
        <w:rPr>
          <w:rFonts w:ascii="Bookman Old Style" w:hAnsi="Bookman Old Style"/>
          <w:sz w:val="26"/>
          <w:szCs w:val="26"/>
        </w:rPr>
        <w:t xml:space="preserve">The “special needs” doctrine allows for searches on less than probable cause, even </w:t>
      </w:r>
      <w:r w:rsidR="00B5042E">
        <w:rPr>
          <w:rFonts w:ascii="Bookman Old Style" w:hAnsi="Bookman Old Style"/>
          <w:sz w:val="26"/>
          <w:szCs w:val="26"/>
        </w:rPr>
        <w:t xml:space="preserve">sometimes </w:t>
      </w:r>
      <w:r w:rsidR="00EB15F4">
        <w:rPr>
          <w:rFonts w:ascii="Bookman Old Style" w:hAnsi="Bookman Old Style"/>
          <w:sz w:val="26"/>
          <w:szCs w:val="26"/>
        </w:rPr>
        <w:t>suspicionless seizures.</w:t>
      </w:r>
      <w:r w:rsidR="00EB15F4">
        <w:rPr>
          <w:rStyle w:val="FootnoteReference"/>
          <w:rFonts w:ascii="Bookman Old Style" w:hAnsi="Bookman Old Style"/>
          <w:sz w:val="26"/>
          <w:szCs w:val="26"/>
        </w:rPr>
        <w:footnoteReference w:id="15"/>
      </w:r>
      <w:r w:rsidR="00EB15F4">
        <w:rPr>
          <w:rFonts w:ascii="Bookman Old Style" w:hAnsi="Bookman Old Style"/>
          <w:sz w:val="26"/>
          <w:szCs w:val="26"/>
        </w:rPr>
        <w:t xml:space="preserve">  However, under the special needs doctrine, the needs must be “beyond the normal need for law enforcement.”</w:t>
      </w:r>
      <w:r w:rsidR="00EB15F4">
        <w:rPr>
          <w:rStyle w:val="FootnoteReference"/>
          <w:rFonts w:ascii="Bookman Old Style" w:hAnsi="Bookman Old Style"/>
          <w:sz w:val="26"/>
          <w:szCs w:val="26"/>
        </w:rPr>
        <w:footnoteReference w:id="16"/>
      </w:r>
    </w:p>
    <w:p w:rsidR="00EB15F4" w:rsidRDefault="00EB15F4" w:rsidP="00A32905">
      <w:pPr>
        <w:pStyle w:val="NormalWeb"/>
        <w:spacing w:line="480" w:lineRule="auto"/>
        <w:rPr>
          <w:rFonts w:ascii="Bookman Old Style" w:hAnsi="Bookman Old Style"/>
          <w:sz w:val="26"/>
          <w:szCs w:val="26"/>
        </w:rPr>
      </w:pPr>
      <w:r>
        <w:rPr>
          <w:rFonts w:ascii="Bookman Old Style" w:hAnsi="Bookman Old Style"/>
          <w:sz w:val="26"/>
          <w:szCs w:val="26"/>
        </w:rPr>
        <w:tab/>
        <w:t xml:space="preserve">The government’s </w:t>
      </w:r>
      <w:r w:rsidR="00217C55">
        <w:rPr>
          <w:rFonts w:ascii="Bookman Old Style" w:hAnsi="Bookman Old Style"/>
          <w:sz w:val="26"/>
          <w:szCs w:val="26"/>
        </w:rPr>
        <w:t>proffered</w:t>
      </w:r>
      <w:r>
        <w:rPr>
          <w:rFonts w:ascii="Bookman Old Style" w:hAnsi="Bookman Old Style"/>
          <w:sz w:val="26"/>
          <w:szCs w:val="26"/>
        </w:rPr>
        <w:t xml:space="preserve"> “special needs,” for the imposed conditions of pretrial release </w:t>
      </w:r>
      <w:r w:rsidR="00B5042E">
        <w:rPr>
          <w:rFonts w:ascii="Bookman Old Style" w:hAnsi="Bookman Old Style"/>
          <w:sz w:val="26"/>
          <w:szCs w:val="26"/>
        </w:rPr>
        <w:t xml:space="preserve">on Mr. Scott </w:t>
      </w:r>
      <w:r>
        <w:rPr>
          <w:rFonts w:ascii="Bookman Old Style" w:hAnsi="Bookman Old Style"/>
          <w:sz w:val="26"/>
          <w:szCs w:val="26"/>
        </w:rPr>
        <w:t>were</w:t>
      </w:r>
      <w:r w:rsidR="003144C0">
        <w:rPr>
          <w:rFonts w:ascii="Bookman Old Style" w:hAnsi="Bookman Old Style"/>
          <w:sz w:val="26"/>
          <w:szCs w:val="26"/>
        </w:rPr>
        <w:t xml:space="preserve"> (1) protecting the community from criminal defendants released pending trial and (2) ensuring that defendants show up at trial.”</w:t>
      </w:r>
      <w:r w:rsidR="003144C0">
        <w:rPr>
          <w:rStyle w:val="FootnoteReference"/>
          <w:rFonts w:ascii="Bookman Old Style" w:hAnsi="Bookman Old Style"/>
          <w:sz w:val="26"/>
          <w:szCs w:val="26"/>
        </w:rPr>
        <w:footnoteReference w:id="17"/>
      </w:r>
    </w:p>
    <w:p w:rsidR="002B4A71" w:rsidRDefault="002B4A71" w:rsidP="00A32905">
      <w:pPr>
        <w:pStyle w:val="NormalWeb"/>
        <w:spacing w:line="480" w:lineRule="auto"/>
        <w:rPr>
          <w:rFonts w:ascii="Bookman Old Style" w:hAnsi="Bookman Old Style"/>
          <w:sz w:val="26"/>
          <w:szCs w:val="26"/>
        </w:rPr>
      </w:pPr>
      <w:r>
        <w:rPr>
          <w:rFonts w:ascii="Bookman Old Style" w:hAnsi="Bookman Old Style"/>
          <w:sz w:val="26"/>
          <w:szCs w:val="26"/>
        </w:rPr>
        <w:tab/>
        <w:t xml:space="preserve">The </w:t>
      </w:r>
      <w:r>
        <w:rPr>
          <w:rFonts w:ascii="Bookman Old Style" w:hAnsi="Bookman Old Style"/>
          <w:i/>
          <w:sz w:val="26"/>
          <w:szCs w:val="26"/>
        </w:rPr>
        <w:t>Scott</w:t>
      </w:r>
      <w:r>
        <w:rPr>
          <w:rFonts w:ascii="Bookman Old Style" w:hAnsi="Bookman Old Style"/>
          <w:sz w:val="26"/>
          <w:szCs w:val="26"/>
        </w:rPr>
        <w:t xml:space="preserve"> court dismissed number one out of hand, noting, “[c]rime prevention is a quintessential general law enforcement purpose and therefore is the exact opposite of a special need.”</w:t>
      </w:r>
      <w:r w:rsidR="00001F60">
        <w:rPr>
          <w:rStyle w:val="FootnoteReference"/>
          <w:rFonts w:ascii="Bookman Old Style" w:hAnsi="Bookman Old Style"/>
          <w:sz w:val="26"/>
          <w:szCs w:val="26"/>
        </w:rPr>
        <w:footnoteReference w:id="18"/>
      </w:r>
    </w:p>
    <w:p w:rsidR="00001F60" w:rsidRDefault="00001F60" w:rsidP="00A32905">
      <w:pPr>
        <w:pStyle w:val="NormalWeb"/>
        <w:spacing w:line="480" w:lineRule="auto"/>
        <w:rPr>
          <w:rFonts w:ascii="Bookman Old Style" w:hAnsi="Bookman Old Style"/>
          <w:sz w:val="26"/>
          <w:szCs w:val="26"/>
        </w:rPr>
      </w:pPr>
      <w:r>
        <w:rPr>
          <w:rFonts w:ascii="Bookman Old Style" w:hAnsi="Bookman Old Style"/>
          <w:sz w:val="26"/>
          <w:szCs w:val="26"/>
        </w:rPr>
        <w:tab/>
        <w:t xml:space="preserve">Having eliminated the first justification for the imposed conditions, the court then had to assume that the primary purpose of the imposed conditions </w:t>
      </w:r>
      <w:r w:rsidR="00C07A06">
        <w:rPr>
          <w:rFonts w:ascii="Bookman Old Style" w:hAnsi="Bookman Old Style"/>
          <w:sz w:val="26"/>
          <w:szCs w:val="26"/>
        </w:rPr>
        <w:t>was to ensure attendance in court.</w:t>
      </w:r>
      <w:r w:rsidR="00C07A06">
        <w:rPr>
          <w:rStyle w:val="FootnoteReference"/>
          <w:rFonts w:ascii="Bookman Old Style" w:hAnsi="Bookman Old Style"/>
          <w:sz w:val="26"/>
          <w:szCs w:val="26"/>
        </w:rPr>
        <w:footnoteReference w:id="19"/>
      </w:r>
    </w:p>
    <w:p w:rsidR="00C07A06" w:rsidRDefault="00C07A06" w:rsidP="00A32905">
      <w:pPr>
        <w:pStyle w:val="NormalWeb"/>
        <w:spacing w:line="480" w:lineRule="auto"/>
        <w:rPr>
          <w:rFonts w:ascii="Bookman Old Style" w:hAnsi="Bookman Old Style"/>
          <w:sz w:val="26"/>
          <w:szCs w:val="26"/>
        </w:rPr>
      </w:pPr>
      <w:r>
        <w:rPr>
          <w:rFonts w:ascii="Bookman Old Style" w:hAnsi="Bookman Old Style"/>
          <w:sz w:val="26"/>
          <w:szCs w:val="26"/>
        </w:rPr>
        <w:lastRenderedPageBreak/>
        <w:tab/>
        <w:t>The court noted that the connection between drug use and non-appearance at trial was tenuous.</w:t>
      </w:r>
      <w:r>
        <w:rPr>
          <w:rStyle w:val="FootnoteReference"/>
          <w:rFonts w:ascii="Bookman Old Style" w:hAnsi="Bookman Old Style"/>
          <w:sz w:val="26"/>
          <w:szCs w:val="26"/>
        </w:rPr>
        <w:footnoteReference w:id="20"/>
      </w:r>
      <w:r>
        <w:rPr>
          <w:rFonts w:ascii="Bookman Old Style" w:hAnsi="Bookman Old Style"/>
          <w:sz w:val="26"/>
          <w:szCs w:val="26"/>
        </w:rPr>
        <w:t xml:space="preserve">  The court </w:t>
      </w:r>
      <w:r w:rsidR="000E7B86">
        <w:rPr>
          <w:rFonts w:ascii="Bookman Old Style" w:hAnsi="Bookman Old Style"/>
          <w:sz w:val="26"/>
          <w:szCs w:val="26"/>
        </w:rPr>
        <w:t xml:space="preserve">also </w:t>
      </w:r>
      <w:r>
        <w:rPr>
          <w:rFonts w:ascii="Bookman Old Style" w:hAnsi="Bookman Old Style"/>
          <w:sz w:val="26"/>
          <w:szCs w:val="26"/>
        </w:rPr>
        <w:t xml:space="preserve">noted that the government had produced no evidence </w:t>
      </w:r>
      <w:r w:rsidR="00636858">
        <w:rPr>
          <w:rFonts w:ascii="Bookman Old Style" w:hAnsi="Bookman Old Style"/>
          <w:sz w:val="26"/>
          <w:szCs w:val="26"/>
        </w:rPr>
        <w:t>to show that Mr. Scott was particularly likely to engage in future drug use that would decrease his likelihood of appearing at trial.</w:t>
      </w:r>
      <w:r w:rsidR="00636858">
        <w:rPr>
          <w:rStyle w:val="FootnoteReference"/>
          <w:rFonts w:ascii="Bookman Old Style" w:hAnsi="Bookman Old Style"/>
          <w:sz w:val="26"/>
          <w:szCs w:val="26"/>
        </w:rPr>
        <w:footnoteReference w:id="21"/>
      </w:r>
      <w:r w:rsidR="000E7B86">
        <w:rPr>
          <w:rFonts w:ascii="Bookman Old Style" w:hAnsi="Bookman Old Style"/>
          <w:sz w:val="26"/>
          <w:szCs w:val="26"/>
        </w:rPr>
        <w:t xml:space="preserve">  It stated</w:t>
      </w:r>
      <w:r w:rsidR="00636858">
        <w:rPr>
          <w:rFonts w:ascii="Bookman Old Style" w:hAnsi="Bookman Old Style"/>
          <w:sz w:val="26"/>
          <w:szCs w:val="26"/>
        </w:rPr>
        <w:t xml:space="preserve"> that the government may not rely on the special needs doctrine based only on “hypothetical” hazards that are unsupported by any concrete evid</w:t>
      </w:r>
      <w:r w:rsidR="00C5229B">
        <w:rPr>
          <w:rFonts w:ascii="Bookman Old Style" w:hAnsi="Bookman Old Style"/>
          <w:sz w:val="26"/>
          <w:szCs w:val="26"/>
        </w:rPr>
        <w:t>ence, specific to the defendant:</w:t>
      </w:r>
      <w:r w:rsidR="00636858">
        <w:rPr>
          <w:rStyle w:val="FootnoteReference"/>
          <w:rFonts w:ascii="Bookman Old Style" w:hAnsi="Bookman Old Style"/>
          <w:sz w:val="26"/>
          <w:szCs w:val="26"/>
        </w:rPr>
        <w:footnoteReference w:id="22"/>
      </w:r>
    </w:p>
    <w:p w:rsidR="00C5229B" w:rsidRDefault="00C5229B" w:rsidP="00C5229B">
      <w:pPr>
        <w:pStyle w:val="NormalWeb"/>
        <w:ind w:left="720" w:right="720"/>
        <w:rPr>
          <w:rFonts w:ascii="Bookman Old Style" w:hAnsi="Bookman Old Style"/>
          <w:sz w:val="26"/>
          <w:szCs w:val="26"/>
        </w:rPr>
      </w:pPr>
      <w:r>
        <w:rPr>
          <w:rFonts w:ascii="Bookman Old Style" w:hAnsi="Bookman Old Style"/>
          <w:sz w:val="26"/>
          <w:szCs w:val="26"/>
        </w:rPr>
        <w:t>The government in this case has relied on nothing more than a generalized need to protect the community and a blanket assertion that drug testing is needed to ensure Scott’s appearance at trial.  Both are insufficient.  We thus cannot validate Scott’s search under the special needs doctrine.</w:t>
      </w:r>
      <w:r>
        <w:rPr>
          <w:rStyle w:val="FootnoteReference"/>
          <w:rFonts w:ascii="Bookman Old Style" w:hAnsi="Bookman Old Style"/>
          <w:sz w:val="26"/>
          <w:szCs w:val="26"/>
        </w:rPr>
        <w:footnoteReference w:id="23"/>
      </w:r>
    </w:p>
    <w:p w:rsidR="00C5229B" w:rsidRDefault="000145F4" w:rsidP="000145F4">
      <w:pPr>
        <w:pStyle w:val="NormalWeb"/>
        <w:spacing w:line="480" w:lineRule="auto"/>
        <w:rPr>
          <w:rFonts w:ascii="Bookman Old Style" w:hAnsi="Bookman Old Style"/>
          <w:sz w:val="26"/>
          <w:szCs w:val="26"/>
        </w:rPr>
      </w:pPr>
      <w:r>
        <w:rPr>
          <w:rFonts w:ascii="Bookman Old Style" w:hAnsi="Bookman Old Style"/>
          <w:sz w:val="26"/>
          <w:szCs w:val="26"/>
        </w:rPr>
        <w:tab/>
        <w:t xml:space="preserve">The </w:t>
      </w:r>
      <w:r>
        <w:rPr>
          <w:rFonts w:ascii="Bookman Old Style" w:hAnsi="Bookman Old Style"/>
          <w:i/>
          <w:sz w:val="26"/>
          <w:szCs w:val="26"/>
        </w:rPr>
        <w:t xml:space="preserve">Scott </w:t>
      </w:r>
      <w:r>
        <w:rPr>
          <w:rFonts w:ascii="Bookman Old Style" w:hAnsi="Bookman Old Style"/>
          <w:sz w:val="26"/>
          <w:szCs w:val="26"/>
        </w:rPr>
        <w:t xml:space="preserve">court </w:t>
      </w:r>
      <w:r w:rsidR="000E7B86">
        <w:rPr>
          <w:rFonts w:ascii="Bookman Old Style" w:hAnsi="Bookman Old Style"/>
          <w:sz w:val="26"/>
          <w:szCs w:val="26"/>
        </w:rPr>
        <w:t>stated</w:t>
      </w:r>
      <w:r>
        <w:rPr>
          <w:rFonts w:ascii="Bookman Old Style" w:hAnsi="Bookman Old Style"/>
          <w:sz w:val="26"/>
          <w:szCs w:val="26"/>
        </w:rPr>
        <w:t xml:space="preserve"> that “pretrial release</w:t>
      </w:r>
      <w:r w:rsidR="00B5042E">
        <w:rPr>
          <w:rFonts w:ascii="Bookman Old Style" w:hAnsi="Bookman Old Style"/>
          <w:sz w:val="26"/>
          <w:szCs w:val="26"/>
        </w:rPr>
        <w:t>e</w:t>
      </w:r>
      <w:r>
        <w:rPr>
          <w:rFonts w:ascii="Bookman Old Style" w:hAnsi="Bookman Old Style"/>
          <w:sz w:val="26"/>
          <w:szCs w:val="26"/>
        </w:rPr>
        <w:t xml:space="preserve">s are ordinary people who have been accused of a crime but </w:t>
      </w:r>
      <w:r w:rsidRPr="000145F4">
        <w:rPr>
          <w:rFonts w:ascii="Bookman Old Style" w:hAnsi="Bookman Old Style"/>
          <w:b/>
          <w:i/>
          <w:sz w:val="26"/>
          <w:szCs w:val="26"/>
        </w:rPr>
        <w:t>are presumed innocen</w:t>
      </w:r>
      <w:r w:rsidRPr="003E41C8">
        <w:rPr>
          <w:rFonts w:ascii="Bookman Old Style" w:hAnsi="Bookman Old Style"/>
          <w:b/>
          <w:sz w:val="26"/>
          <w:szCs w:val="26"/>
        </w:rPr>
        <w:t>t</w:t>
      </w:r>
      <w:r>
        <w:rPr>
          <w:rFonts w:ascii="Bookman Old Style" w:hAnsi="Bookman Old Style"/>
          <w:sz w:val="26"/>
          <w:szCs w:val="26"/>
        </w:rPr>
        <w:t>. . . People released pending trial . . . have suffered no judicial abridgment of their constitutional rights</w:t>
      </w:r>
      <w:r w:rsidR="003E41C8">
        <w:rPr>
          <w:rFonts w:ascii="Bookman Old Style" w:hAnsi="Bookman Old Style"/>
          <w:sz w:val="26"/>
          <w:szCs w:val="26"/>
        </w:rPr>
        <w:t>.</w:t>
      </w:r>
      <w:r>
        <w:rPr>
          <w:rFonts w:ascii="Bookman Old Style" w:hAnsi="Bookman Old Style"/>
          <w:sz w:val="26"/>
          <w:szCs w:val="26"/>
        </w:rPr>
        <w:t>”</w:t>
      </w:r>
      <w:r>
        <w:rPr>
          <w:rStyle w:val="FootnoteReference"/>
          <w:rFonts w:ascii="Bookman Old Style" w:hAnsi="Bookman Old Style"/>
          <w:sz w:val="26"/>
          <w:szCs w:val="26"/>
        </w:rPr>
        <w:footnoteReference w:id="24"/>
      </w:r>
    </w:p>
    <w:p w:rsidR="003E41C8" w:rsidRDefault="003E41C8" w:rsidP="000145F4">
      <w:pPr>
        <w:pStyle w:val="NormalWeb"/>
        <w:spacing w:line="480" w:lineRule="auto"/>
        <w:rPr>
          <w:rFonts w:ascii="Bookman Old Style" w:hAnsi="Bookman Old Style"/>
          <w:sz w:val="26"/>
          <w:szCs w:val="26"/>
        </w:rPr>
      </w:pPr>
      <w:r>
        <w:rPr>
          <w:rFonts w:ascii="Bookman Old Style" w:hAnsi="Bookman Old Style"/>
          <w:sz w:val="26"/>
          <w:szCs w:val="26"/>
        </w:rPr>
        <w:lastRenderedPageBreak/>
        <w:tab/>
        <w:t>The crux of this opinion bears repeating</w:t>
      </w:r>
      <w:r w:rsidR="00047C16">
        <w:rPr>
          <w:rFonts w:ascii="Bookman Old Style" w:hAnsi="Bookman Old Style"/>
          <w:sz w:val="26"/>
          <w:szCs w:val="26"/>
        </w:rPr>
        <w:t xml:space="preserve"> verbatim</w:t>
      </w:r>
      <w:r>
        <w:rPr>
          <w:rFonts w:ascii="Bookman Old Style" w:hAnsi="Bookman Old Style"/>
          <w:sz w:val="26"/>
          <w:szCs w:val="26"/>
        </w:rPr>
        <w:t>:</w:t>
      </w:r>
    </w:p>
    <w:p w:rsidR="003E41C8" w:rsidRDefault="00047C16" w:rsidP="00047C16">
      <w:pPr>
        <w:pStyle w:val="NormalWeb"/>
        <w:ind w:left="720" w:right="720"/>
        <w:rPr>
          <w:rFonts w:ascii="Bookman Old Style" w:hAnsi="Bookman Old Style"/>
          <w:sz w:val="26"/>
          <w:szCs w:val="26"/>
        </w:rPr>
      </w:pPr>
      <w:r>
        <w:rPr>
          <w:rFonts w:ascii="Bookman Old Style" w:hAnsi="Bookman Old Style"/>
          <w:sz w:val="26"/>
          <w:szCs w:val="26"/>
        </w:rPr>
        <w:t>[T]he assumption that Scott was more likely to commit crimes than other members of the public, without an individualized determination to that effect, is contradicted by the presumption of innocence:  That an individual is charged with a crime cannot, as a constitutional matter, give rise to any inference that he is more likely than any other citizen to commit a crime if he is released from custody.  Defendant is, after all, constitutionally presumed to be innocent pending trial, and innocence can only raise an inference of innocence, not of guilt. . . [No] case authorizes detaining someone in jail while awaiting trial, or the imposition of special bail conditions based merely on the fact of arrest for a particular crime.</w:t>
      </w:r>
      <w:r>
        <w:rPr>
          <w:rStyle w:val="FootnoteReference"/>
          <w:rFonts w:ascii="Bookman Old Style" w:hAnsi="Bookman Old Style"/>
          <w:sz w:val="26"/>
          <w:szCs w:val="26"/>
        </w:rPr>
        <w:footnoteReference w:id="25"/>
      </w:r>
      <w:r w:rsidR="00582F91">
        <w:rPr>
          <w:rFonts w:ascii="Bookman Old Style" w:hAnsi="Bookman Old Style"/>
          <w:sz w:val="26"/>
          <w:szCs w:val="26"/>
        </w:rPr>
        <w:t>. . .The arrest alone did not establish defendant’s dangerousness . . .It follows that if a defendant is to be released subject to bail conditions that will help protect the community from the risk of crimes he might commit while on bail, the conditions must be justified by a showing that defendant poses a heightened risk of misbehaving wh</w:t>
      </w:r>
      <w:r w:rsidR="000E7B86">
        <w:rPr>
          <w:rFonts w:ascii="Bookman Old Style" w:hAnsi="Bookman Old Style"/>
          <w:sz w:val="26"/>
          <w:szCs w:val="26"/>
        </w:rPr>
        <w:t>i</w:t>
      </w:r>
      <w:r w:rsidR="00582F91">
        <w:rPr>
          <w:rFonts w:ascii="Bookman Old Style" w:hAnsi="Bookman Old Style"/>
          <w:sz w:val="26"/>
          <w:szCs w:val="26"/>
        </w:rPr>
        <w:t>le on bail.  The government cannot, as it is trying to do in this case, short-circuit the process by claiming that the arrest itself is sufficient to establish that the conditions are required.</w:t>
      </w:r>
      <w:r w:rsidR="00582F91">
        <w:rPr>
          <w:rStyle w:val="FootnoteReference"/>
          <w:rFonts w:ascii="Bookman Old Style" w:hAnsi="Bookman Old Style"/>
          <w:sz w:val="26"/>
          <w:szCs w:val="26"/>
        </w:rPr>
        <w:footnoteReference w:id="26"/>
      </w:r>
    </w:p>
    <w:p w:rsidR="005D3A5C" w:rsidRDefault="005D3A5C" w:rsidP="005D3A5C">
      <w:pPr>
        <w:pStyle w:val="NormalWeb"/>
        <w:spacing w:line="480" w:lineRule="auto"/>
        <w:rPr>
          <w:rFonts w:ascii="Bookman Old Style" w:hAnsi="Bookman Old Style"/>
          <w:sz w:val="26"/>
          <w:szCs w:val="26"/>
        </w:rPr>
      </w:pPr>
      <w:r>
        <w:rPr>
          <w:rFonts w:ascii="Bookman Old Style" w:hAnsi="Bookman Old Style"/>
          <w:sz w:val="26"/>
          <w:szCs w:val="26"/>
        </w:rPr>
        <w:tab/>
        <w:t>The court concluded that the search of Mr. Scott and his home did “not pass constitutional muster” based on either consent, special needs, or the totality of the circumstances.</w:t>
      </w:r>
      <w:r>
        <w:rPr>
          <w:rStyle w:val="FootnoteReference"/>
          <w:rFonts w:ascii="Bookman Old Style" w:hAnsi="Bookman Old Style"/>
          <w:sz w:val="26"/>
          <w:szCs w:val="26"/>
        </w:rPr>
        <w:footnoteReference w:id="27"/>
      </w:r>
    </w:p>
    <w:p w:rsidR="009B1E68" w:rsidRDefault="009B1E68" w:rsidP="005D3A5C">
      <w:pPr>
        <w:pStyle w:val="NormalWeb"/>
        <w:spacing w:line="480" w:lineRule="auto"/>
        <w:rPr>
          <w:rFonts w:ascii="Bookman Old Style" w:hAnsi="Bookman Old Style"/>
          <w:sz w:val="26"/>
          <w:szCs w:val="26"/>
        </w:rPr>
      </w:pPr>
      <w:r>
        <w:rPr>
          <w:rFonts w:ascii="Bookman Old Style" w:hAnsi="Bookman Old Style"/>
          <w:sz w:val="26"/>
          <w:szCs w:val="26"/>
        </w:rPr>
        <w:lastRenderedPageBreak/>
        <w:tab/>
        <w:t xml:space="preserve">The imposed conditions of release on Mr. Ervin, quite frankly, are exponentially more problematic than those in </w:t>
      </w:r>
      <w:r w:rsidRPr="009B1E68">
        <w:rPr>
          <w:rFonts w:ascii="Bookman Old Style" w:hAnsi="Bookman Old Style"/>
          <w:i/>
          <w:sz w:val="26"/>
          <w:szCs w:val="26"/>
        </w:rPr>
        <w:t>Scott:</w:t>
      </w:r>
      <w:r>
        <w:rPr>
          <w:rFonts w:ascii="Bookman Old Style" w:hAnsi="Bookman Old Style"/>
          <w:i/>
          <w:sz w:val="26"/>
          <w:szCs w:val="26"/>
        </w:rPr>
        <w:t xml:space="preserve">  </w:t>
      </w:r>
      <w:r>
        <w:rPr>
          <w:rFonts w:ascii="Bookman Old Style" w:hAnsi="Bookman Old Style"/>
          <w:sz w:val="26"/>
          <w:szCs w:val="26"/>
        </w:rPr>
        <w:t xml:space="preserve">San Francisco County uses </w:t>
      </w:r>
      <w:r w:rsidR="00C30846">
        <w:rPr>
          <w:rFonts w:ascii="Bookman Old Style" w:hAnsi="Bookman Old Style"/>
          <w:sz w:val="26"/>
          <w:szCs w:val="26"/>
        </w:rPr>
        <w:t xml:space="preserve">an </w:t>
      </w:r>
      <w:r w:rsidR="000E7B86">
        <w:rPr>
          <w:rFonts w:ascii="Bookman Old Style" w:hAnsi="Bookman Old Style"/>
          <w:sz w:val="26"/>
          <w:szCs w:val="26"/>
        </w:rPr>
        <w:t>algorithm</w:t>
      </w:r>
      <w:r w:rsidR="00C30846">
        <w:rPr>
          <w:rFonts w:ascii="Bookman Old Style" w:hAnsi="Bookman Old Style"/>
          <w:sz w:val="26"/>
          <w:szCs w:val="26"/>
        </w:rPr>
        <w:t xml:space="preserve"> to score the po</w:t>
      </w:r>
      <w:r w:rsidR="000E7B86">
        <w:rPr>
          <w:rFonts w:ascii="Bookman Old Style" w:hAnsi="Bookman Old Style"/>
          <w:sz w:val="26"/>
          <w:szCs w:val="26"/>
        </w:rPr>
        <w:t>tential of an arrested individual</w:t>
      </w:r>
      <w:r w:rsidR="00C30846">
        <w:rPr>
          <w:rFonts w:ascii="Bookman Old Style" w:hAnsi="Bookman Old Style"/>
          <w:sz w:val="26"/>
          <w:szCs w:val="26"/>
        </w:rPr>
        <w:t xml:space="preserve"> to recidivate or fail to appear in court.</w:t>
      </w:r>
      <w:r w:rsidR="00C30846">
        <w:rPr>
          <w:rStyle w:val="FootnoteReference"/>
          <w:rFonts w:ascii="Bookman Old Style" w:hAnsi="Bookman Old Style"/>
          <w:sz w:val="26"/>
          <w:szCs w:val="26"/>
        </w:rPr>
        <w:footnoteReference w:id="28"/>
      </w:r>
      <w:r w:rsidR="00C30846">
        <w:rPr>
          <w:rFonts w:ascii="Bookman Old Style" w:hAnsi="Bookman Old Style"/>
          <w:sz w:val="26"/>
          <w:szCs w:val="26"/>
        </w:rPr>
        <w:t xml:space="preserve">  Only those who score the lowest possible on each scale are released on their own recognizance, without conditions, prior to arraignment.</w:t>
      </w:r>
    </w:p>
    <w:p w:rsidR="00C30846" w:rsidRDefault="00C30846" w:rsidP="005D3A5C">
      <w:pPr>
        <w:pStyle w:val="NormalWeb"/>
        <w:spacing w:line="480" w:lineRule="auto"/>
        <w:rPr>
          <w:rFonts w:ascii="Bookman Old Style" w:hAnsi="Bookman Old Style"/>
          <w:sz w:val="26"/>
          <w:szCs w:val="26"/>
        </w:rPr>
      </w:pPr>
      <w:r>
        <w:rPr>
          <w:rFonts w:ascii="Bookman Old Style" w:hAnsi="Bookman Old Style"/>
          <w:sz w:val="26"/>
          <w:szCs w:val="26"/>
        </w:rPr>
        <w:tab/>
        <w:t xml:space="preserve">Further, in this case, Mr. Scott did NOT consent to the conditions of release.  </w:t>
      </w:r>
      <w:r w:rsidR="00B5042E">
        <w:rPr>
          <w:rFonts w:ascii="Bookman Old Style" w:hAnsi="Bookman Old Style"/>
          <w:sz w:val="26"/>
          <w:szCs w:val="26"/>
        </w:rPr>
        <w:t>Mr. Ervin, through counsel, immediately objected to the imposition of the conditions on</w:t>
      </w:r>
      <w:r>
        <w:rPr>
          <w:rFonts w:ascii="Bookman Old Style" w:hAnsi="Bookman Old Style"/>
          <w:sz w:val="26"/>
          <w:szCs w:val="26"/>
        </w:rPr>
        <w:t xml:space="preserve"> constitutional grounds.</w:t>
      </w:r>
      <w:r w:rsidR="005745AF">
        <w:rPr>
          <w:rFonts w:ascii="Bookman Old Style" w:hAnsi="Bookman Old Style"/>
          <w:sz w:val="26"/>
          <w:szCs w:val="26"/>
        </w:rPr>
        <w:t xml:space="preserve">  Mr. Scott did not sign a consent form, nor affirmatively agree to a waiver of his constitutional rights.</w:t>
      </w:r>
    </w:p>
    <w:p w:rsidR="005745AF" w:rsidRDefault="005745AF" w:rsidP="005D3A5C">
      <w:pPr>
        <w:pStyle w:val="NormalWeb"/>
        <w:spacing w:line="480" w:lineRule="auto"/>
        <w:rPr>
          <w:rFonts w:ascii="Bookman Old Style" w:hAnsi="Bookman Old Style"/>
          <w:sz w:val="26"/>
          <w:szCs w:val="26"/>
        </w:rPr>
      </w:pPr>
      <w:r>
        <w:rPr>
          <w:rFonts w:ascii="Bookman Old Style" w:hAnsi="Bookman Old Style"/>
          <w:sz w:val="26"/>
          <w:szCs w:val="26"/>
        </w:rPr>
        <w:tab/>
        <w:t>In addition, this court did not re</w:t>
      </w:r>
      <w:r w:rsidR="000E7B86">
        <w:rPr>
          <w:rFonts w:ascii="Bookman Old Style" w:hAnsi="Bookman Old Style"/>
          <w:sz w:val="26"/>
          <w:szCs w:val="26"/>
        </w:rPr>
        <w:t>quire the prosecutor to provide</w:t>
      </w:r>
      <w:r>
        <w:rPr>
          <w:rFonts w:ascii="Bookman Old Style" w:hAnsi="Bookman Old Style"/>
          <w:sz w:val="26"/>
          <w:szCs w:val="26"/>
        </w:rPr>
        <w:t xml:space="preserve"> any specific facts regarding Mr. Ervin (and, as pointed out above, the charges themselves are NEVER a permissible, constitutionally valid reason to impose a waiver of constitutional rights pending trial) that would show, by clear and convincing evidence, that Mr. Ervin was likely to commit </w:t>
      </w:r>
      <w:r>
        <w:rPr>
          <w:rFonts w:ascii="Bookman Old Style" w:hAnsi="Bookman Old Style"/>
          <w:sz w:val="26"/>
          <w:szCs w:val="26"/>
        </w:rPr>
        <w:lastRenderedPageBreak/>
        <w:t xml:space="preserve">crimes while on release, posed a public safety risk, or was likely to abscond or fail to appear in court.  This court, to its discredit, imposed the conditions based on </w:t>
      </w:r>
      <w:r w:rsidR="0014443A">
        <w:rPr>
          <w:rFonts w:ascii="Bookman Old Style" w:hAnsi="Bookman Old Style"/>
          <w:sz w:val="26"/>
          <w:szCs w:val="26"/>
        </w:rPr>
        <w:t>the prosecution’s statement that 1. The crime is repugnant 2. Child porn victims are re</w:t>
      </w:r>
      <w:r w:rsidR="000E7B86">
        <w:rPr>
          <w:rFonts w:ascii="Bookman Old Style" w:hAnsi="Bookman Old Style"/>
          <w:sz w:val="26"/>
          <w:szCs w:val="26"/>
        </w:rPr>
        <w:t>-</w:t>
      </w:r>
      <w:r w:rsidR="0014443A">
        <w:rPr>
          <w:rFonts w:ascii="Bookman Old Style" w:hAnsi="Bookman Old Style"/>
          <w:sz w:val="26"/>
          <w:szCs w:val="26"/>
        </w:rPr>
        <w:t>victimized every</w:t>
      </w:r>
      <w:r w:rsidR="000E7B86">
        <w:rPr>
          <w:rFonts w:ascii="Bookman Old Style" w:hAnsi="Bookman Old Style"/>
          <w:sz w:val="26"/>
          <w:szCs w:val="26"/>
        </w:rPr>
        <w:t xml:space="preserve"> </w:t>
      </w:r>
      <w:r w:rsidR="0014443A">
        <w:rPr>
          <w:rFonts w:ascii="Bookman Old Style" w:hAnsi="Bookman Old Style"/>
          <w:sz w:val="26"/>
          <w:szCs w:val="26"/>
        </w:rPr>
        <w:t>time a photo is viewed or disseminated and 3.  Other judges routinely impose these conditions on anyone charged with PC 311.11.</w:t>
      </w:r>
    </w:p>
    <w:p w:rsidR="0014443A" w:rsidRPr="009B1E68" w:rsidRDefault="0014443A" w:rsidP="005D3A5C">
      <w:pPr>
        <w:pStyle w:val="NormalWeb"/>
        <w:spacing w:line="480" w:lineRule="auto"/>
        <w:rPr>
          <w:rFonts w:ascii="Bookman Old Style" w:hAnsi="Bookman Old Style"/>
          <w:sz w:val="26"/>
          <w:szCs w:val="26"/>
        </w:rPr>
      </w:pPr>
      <w:r>
        <w:rPr>
          <w:rFonts w:ascii="Bookman Old Style" w:hAnsi="Bookman Old Style"/>
          <w:sz w:val="26"/>
          <w:szCs w:val="26"/>
        </w:rPr>
        <w:tab/>
        <w:t>When asked</w:t>
      </w:r>
      <w:r w:rsidR="00B476AF">
        <w:rPr>
          <w:rFonts w:ascii="Bookman Old Style" w:hAnsi="Bookman Old Style"/>
          <w:sz w:val="26"/>
          <w:szCs w:val="26"/>
        </w:rPr>
        <w:t xml:space="preserve"> by defense counsel</w:t>
      </w:r>
      <w:r>
        <w:rPr>
          <w:rFonts w:ascii="Bookman Old Style" w:hAnsi="Bookman Old Style"/>
          <w:sz w:val="26"/>
          <w:szCs w:val="26"/>
        </w:rPr>
        <w:t xml:space="preserve">, Ms. Wells was unable to provide the name of any person victimized by Mr. Scott in this case.  Nor was she able to provide specific evidence REGARDING MR. ERVIN, rather than folks in general charged with identical crimes, that would prove that Mr. Ervin posed a public safety risk or </w:t>
      </w:r>
      <w:r w:rsidR="00B476AF">
        <w:rPr>
          <w:rFonts w:ascii="Bookman Old Style" w:hAnsi="Bookman Old Style"/>
          <w:sz w:val="26"/>
          <w:szCs w:val="26"/>
        </w:rPr>
        <w:t xml:space="preserve">would </w:t>
      </w:r>
      <w:r>
        <w:rPr>
          <w:rFonts w:ascii="Bookman Old Style" w:hAnsi="Bookman Old Style"/>
          <w:sz w:val="26"/>
          <w:szCs w:val="26"/>
        </w:rPr>
        <w:t>fail to appear in court.</w:t>
      </w:r>
    </w:p>
    <w:p w:rsidR="006F0BCB" w:rsidRDefault="006F0BCB" w:rsidP="006F0BCB">
      <w:pPr>
        <w:pStyle w:val="NormalWeb"/>
        <w:spacing w:line="360" w:lineRule="auto"/>
        <w:rPr>
          <w:rFonts w:ascii="Bookman Old Style" w:hAnsi="Bookman Old Style"/>
          <w:sz w:val="26"/>
          <w:szCs w:val="26"/>
        </w:rPr>
      </w:pPr>
      <w:r>
        <w:rPr>
          <w:rFonts w:ascii="Bookman Old Style" w:hAnsi="Bookman Old Style"/>
          <w:b/>
          <w:bCs/>
          <w:sz w:val="26"/>
          <w:szCs w:val="26"/>
        </w:rPr>
        <w:t>2. The bail condition prohibiting the use of encryption software is an unconstitutional prior restraint of free speech.</w:t>
      </w:r>
    </w:p>
    <w:p w:rsidR="006F0BCB" w:rsidRDefault="006F0BCB" w:rsidP="006F0BCB">
      <w:pPr>
        <w:pStyle w:val="NormalWeb"/>
        <w:spacing w:line="360" w:lineRule="auto"/>
        <w:rPr>
          <w:rFonts w:ascii="Bookman Old Style" w:hAnsi="Bookman Old Style"/>
          <w:sz w:val="26"/>
          <w:szCs w:val="26"/>
        </w:rPr>
      </w:pPr>
      <w:r>
        <w:rPr>
          <w:rFonts w:ascii="Bookman Old Style" w:hAnsi="Bookman Old Style"/>
          <w:sz w:val="26"/>
          <w:szCs w:val="26"/>
        </w:rPr>
        <w:tab/>
        <w:t>The order to</w:t>
      </w:r>
      <w:r w:rsidR="00B476AF">
        <w:rPr>
          <w:rFonts w:ascii="Bookman Old Style" w:hAnsi="Bookman Old Style"/>
          <w:sz w:val="26"/>
          <w:szCs w:val="26"/>
        </w:rPr>
        <w:t xml:space="preserve"> be modified states that Mr. Ervin</w:t>
      </w:r>
      <w:r>
        <w:rPr>
          <w:rFonts w:ascii="Bookman Old Style" w:hAnsi="Bookman Old Style"/>
          <w:sz w:val="26"/>
          <w:szCs w:val="26"/>
        </w:rPr>
        <w:t xml:space="preserve"> may not use encryption software on devices that connect to the internet.</w:t>
      </w:r>
      <w:r w:rsidR="00BF215A">
        <w:rPr>
          <w:rFonts w:ascii="Bookman Old Style" w:hAnsi="Bookman Old Style"/>
          <w:sz w:val="26"/>
          <w:szCs w:val="26"/>
        </w:rPr>
        <w:t xml:space="preserve"> This issue goes to extremely fundamental legal questions but requires a sufficient grasp </w:t>
      </w:r>
      <w:r w:rsidR="00B476AF">
        <w:rPr>
          <w:rFonts w:ascii="Bookman Old Style" w:hAnsi="Bookman Old Style"/>
          <w:sz w:val="26"/>
          <w:szCs w:val="26"/>
        </w:rPr>
        <w:t xml:space="preserve">of technological issues, which necessitates a </w:t>
      </w:r>
      <w:r w:rsidR="00BF215A">
        <w:rPr>
          <w:rFonts w:ascii="Bookman Old Style" w:hAnsi="Bookman Old Style"/>
          <w:sz w:val="26"/>
          <w:szCs w:val="26"/>
        </w:rPr>
        <w:t>technical introduction.</w:t>
      </w:r>
    </w:p>
    <w:p w:rsidR="00BF215A" w:rsidRDefault="00BF215A" w:rsidP="00702976">
      <w:pPr>
        <w:pStyle w:val="NormalWeb"/>
        <w:numPr>
          <w:ilvl w:val="0"/>
          <w:numId w:val="12"/>
        </w:numPr>
        <w:spacing w:line="360" w:lineRule="auto"/>
        <w:rPr>
          <w:rFonts w:ascii="Bookman Old Style" w:hAnsi="Bookman Old Style"/>
          <w:sz w:val="26"/>
          <w:szCs w:val="26"/>
        </w:rPr>
      </w:pPr>
      <w:r>
        <w:rPr>
          <w:rFonts w:ascii="Bookman Old Style" w:hAnsi="Bookman Old Style"/>
          <w:sz w:val="26"/>
          <w:szCs w:val="26"/>
          <w:u w:val="single"/>
        </w:rPr>
        <w:t>Technical Introduction as to computer encryption</w:t>
      </w:r>
    </w:p>
    <w:p w:rsidR="00BF215A" w:rsidRDefault="00BF215A" w:rsidP="006F0BCB">
      <w:pPr>
        <w:pStyle w:val="NormalWeb"/>
        <w:spacing w:line="360" w:lineRule="auto"/>
        <w:rPr>
          <w:rFonts w:ascii="Bookman Old Style" w:hAnsi="Bookman Old Style"/>
          <w:sz w:val="26"/>
          <w:szCs w:val="26"/>
        </w:rPr>
      </w:pPr>
      <w:r>
        <w:rPr>
          <w:rFonts w:ascii="Bookman Old Style" w:hAnsi="Bookman Old Style"/>
          <w:sz w:val="26"/>
          <w:szCs w:val="26"/>
        </w:rPr>
        <w:lastRenderedPageBreak/>
        <w:tab/>
        <w:t xml:space="preserve">Although modern pop culture might suggest that encryption is some new discipline available only to the highest of computer coding gurus versed in pure mathematics, the truth is that encryption is a far older and </w:t>
      </w:r>
      <w:r w:rsidR="00B476AF">
        <w:rPr>
          <w:rFonts w:ascii="Bookman Old Style" w:hAnsi="Bookman Old Style"/>
          <w:sz w:val="26"/>
          <w:szCs w:val="26"/>
        </w:rPr>
        <w:t xml:space="preserve">a </w:t>
      </w:r>
      <w:r>
        <w:rPr>
          <w:rFonts w:ascii="Bookman Old Style" w:hAnsi="Bookman Old Style"/>
          <w:sz w:val="26"/>
          <w:szCs w:val="26"/>
        </w:rPr>
        <w:t xml:space="preserve">far more accessible practice than the modern legal issues arising from it. </w:t>
      </w:r>
    </w:p>
    <w:p w:rsidR="004F6967" w:rsidRDefault="004F6967" w:rsidP="006F0BCB">
      <w:pPr>
        <w:pStyle w:val="NormalWeb"/>
        <w:spacing w:line="360" w:lineRule="auto"/>
        <w:rPr>
          <w:rFonts w:ascii="Bookman Old Style" w:hAnsi="Bookman Old Style"/>
          <w:sz w:val="26"/>
          <w:szCs w:val="26"/>
        </w:rPr>
      </w:pPr>
      <w:r>
        <w:rPr>
          <w:rFonts w:ascii="Bookman Old Style" w:hAnsi="Bookman Old Style"/>
          <w:sz w:val="26"/>
          <w:szCs w:val="26"/>
        </w:rPr>
        <w:tab/>
        <w:t>Basic written encryption involves taking a message or note and scrambling the information it conveys by changing the characters to something else according to a prearranged set of rules and formulas called a cipher</w:t>
      </w:r>
      <w:r w:rsidR="00C823B0">
        <w:rPr>
          <w:rFonts w:ascii="Bookman Old Style" w:hAnsi="Bookman Old Style"/>
          <w:sz w:val="26"/>
          <w:szCs w:val="26"/>
        </w:rPr>
        <w:t xml:space="preserve"> or key</w:t>
      </w:r>
      <w:r>
        <w:rPr>
          <w:rFonts w:ascii="Bookman Old Style" w:hAnsi="Bookman Old Style"/>
          <w:sz w:val="26"/>
          <w:szCs w:val="26"/>
        </w:rPr>
        <w:t>.</w:t>
      </w:r>
      <w:r>
        <w:rPr>
          <w:rStyle w:val="FootnoteReference"/>
          <w:rFonts w:ascii="Bookman Old Style" w:hAnsi="Bookman Old Style"/>
          <w:sz w:val="26"/>
          <w:szCs w:val="26"/>
        </w:rPr>
        <w:footnoteReference w:id="29"/>
      </w:r>
      <w:r>
        <w:rPr>
          <w:rFonts w:ascii="Bookman Old Style" w:hAnsi="Bookman Old Style"/>
          <w:sz w:val="26"/>
          <w:szCs w:val="26"/>
        </w:rPr>
        <w:t xml:space="preserve"> The cipher is held by the sender and receiver or the </w:t>
      </w:r>
      <w:r w:rsidR="00217C55">
        <w:rPr>
          <w:rFonts w:ascii="Bookman Old Style" w:hAnsi="Bookman Old Style"/>
          <w:sz w:val="26"/>
          <w:szCs w:val="26"/>
        </w:rPr>
        <w:t>note taker</w:t>
      </w:r>
      <w:r>
        <w:rPr>
          <w:rFonts w:ascii="Bookman Old Style" w:hAnsi="Bookman Old Style"/>
          <w:sz w:val="26"/>
          <w:szCs w:val="26"/>
        </w:rPr>
        <w:t>, and the message or note in its scrambled form can then be discovered by any third person not in possession of the cipher, and such third person will then be unable to determine the original contents, hence the origin of the English word, “decipher,” a synonym for “decrypt,” which is the act of using a cipher to unscramble an encrypted message or note into its meaningful state.</w:t>
      </w:r>
    </w:p>
    <w:p w:rsidR="00480045" w:rsidRDefault="00091312" w:rsidP="00671F87">
      <w:pPr>
        <w:pStyle w:val="NormalWeb"/>
        <w:spacing w:line="360" w:lineRule="auto"/>
        <w:rPr>
          <w:rFonts w:ascii="Bookman Old Style" w:hAnsi="Bookman Old Style"/>
          <w:sz w:val="26"/>
          <w:szCs w:val="26"/>
        </w:rPr>
      </w:pPr>
      <w:r>
        <w:rPr>
          <w:rFonts w:ascii="Bookman Old Style" w:hAnsi="Bookman Old Style"/>
          <w:sz w:val="26"/>
          <w:szCs w:val="26"/>
        </w:rPr>
        <w:tab/>
        <w:t xml:space="preserve">The introduction of the use of modern computers into the domain of encryption is not </w:t>
      </w:r>
      <w:r w:rsidR="00A118AE">
        <w:rPr>
          <w:rFonts w:ascii="Bookman Old Style" w:hAnsi="Bookman Old Style"/>
          <w:sz w:val="26"/>
          <w:szCs w:val="26"/>
        </w:rPr>
        <w:t>qualitatively</w:t>
      </w:r>
      <w:r>
        <w:rPr>
          <w:rFonts w:ascii="Bookman Old Style" w:hAnsi="Bookman Old Style"/>
          <w:sz w:val="26"/>
          <w:szCs w:val="26"/>
        </w:rPr>
        <w:t xml:space="preserve"> different from the replacement of the abacus by the calculator</w:t>
      </w:r>
      <w:r w:rsidR="00671F87">
        <w:rPr>
          <w:rFonts w:ascii="Bookman Old Style" w:hAnsi="Bookman Old Style"/>
          <w:sz w:val="26"/>
          <w:szCs w:val="26"/>
        </w:rPr>
        <w:t xml:space="preserve"> in the field of accounting. It is a tool which opens up new horizons of speed and degree. It may lead to a dependency on the tool as people stop practicing the skill previously done with pencil and paper, but no one would deny that with sufficient time and </w:t>
      </w:r>
      <w:r w:rsidR="00671F87">
        <w:rPr>
          <w:rFonts w:ascii="Bookman Old Style" w:hAnsi="Bookman Old Style"/>
          <w:sz w:val="26"/>
          <w:szCs w:val="26"/>
        </w:rPr>
        <w:lastRenderedPageBreak/>
        <w:t xml:space="preserve">discipline, the computer’s task could be performed with pencil and paper. </w:t>
      </w:r>
    </w:p>
    <w:p w:rsidR="00AD2616" w:rsidRDefault="00EE0226" w:rsidP="00671F87">
      <w:pPr>
        <w:pStyle w:val="NormalWeb"/>
        <w:spacing w:line="360" w:lineRule="auto"/>
        <w:rPr>
          <w:rFonts w:ascii="Bookman Old Style" w:hAnsi="Bookman Old Style"/>
          <w:sz w:val="26"/>
          <w:szCs w:val="26"/>
        </w:rPr>
      </w:pPr>
      <w:r>
        <w:rPr>
          <w:rFonts w:ascii="Bookman Old Style" w:hAnsi="Bookman Old Style"/>
          <w:sz w:val="26"/>
          <w:szCs w:val="26"/>
        </w:rPr>
        <w:tab/>
        <w:t>Encryption today is not used less than in the past. It is used far more, precisely because of the combination of the</w:t>
      </w:r>
      <w:r w:rsidR="00B476AF">
        <w:rPr>
          <w:rFonts w:ascii="Bookman Old Style" w:hAnsi="Bookman Old Style"/>
          <w:sz w:val="26"/>
          <w:szCs w:val="26"/>
        </w:rPr>
        <w:t xml:space="preserve"> advent of the</w:t>
      </w:r>
      <w:r>
        <w:rPr>
          <w:rFonts w:ascii="Bookman Old Style" w:hAnsi="Bookman Old Style"/>
          <w:sz w:val="26"/>
          <w:szCs w:val="26"/>
        </w:rPr>
        <w:t xml:space="preserve"> internet and the computer. Every judicial efiling system of any sophistication uses encryption, so a prohibition against using encryption software on a machine that connects to the internet is a </w:t>
      </w:r>
      <w:r w:rsidR="003635E4">
        <w:rPr>
          <w:rFonts w:ascii="Bookman Old Style" w:hAnsi="Bookman Old Style"/>
          <w:sz w:val="26"/>
          <w:szCs w:val="26"/>
        </w:rPr>
        <w:t>closing of the courthouse doors</w:t>
      </w:r>
      <w:r w:rsidR="00B476AF">
        <w:rPr>
          <w:rFonts w:ascii="Bookman Old Style" w:hAnsi="Bookman Old Style"/>
          <w:sz w:val="26"/>
          <w:szCs w:val="26"/>
        </w:rPr>
        <w:t xml:space="preserve"> in many instances</w:t>
      </w:r>
      <w:r>
        <w:rPr>
          <w:rFonts w:ascii="Bookman Old Style" w:hAnsi="Bookman Old Style"/>
          <w:sz w:val="26"/>
          <w:szCs w:val="26"/>
        </w:rPr>
        <w:t xml:space="preserve">. </w:t>
      </w:r>
      <w:r w:rsidR="003635E4">
        <w:rPr>
          <w:rFonts w:ascii="Bookman Old Style" w:hAnsi="Bookman Old Style"/>
          <w:sz w:val="26"/>
          <w:szCs w:val="26"/>
        </w:rPr>
        <w:t>Particularly</w:t>
      </w:r>
      <w:r>
        <w:rPr>
          <w:rFonts w:ascii="Bookman Old Style" w:hAnsi="Bookman Old Style"/>
          <w:sz w:val="26"/>
          <w:szCs w:val="26"/>
        </w:rPr>
        <w:t xml:space="preserve"> in the age of COVID-19, and particularly in San Francisco, the medical profession is rapidly moving online, and encryption is strictly essential to the management of such practice, so a prohibition against using encryption software on a machine that connects to the internet is a prohibition against seeking medical advice and attention from the isolation of one’s home in the middle of a pandemic. Modern lawyers who are bound to protect the confidences of their clients often use encrypted communication, and there is some discussion among the profession that a basic knowledge and regular use of encryption is a requirement of professional responsibility, so a prohibition of the use of encryption software on a device that connects to the internet is a denial of the effective right to counsel. ATMs </w:t>
      </w:r>
      <w:r w:rsidR="00F813D3">
        <w:rPr>
          <w:rFonts w:ascii="Bookman Old Style" w:hAnsi="Bookman Old Style"/>
          <w:sz w:val="26"/>
          <w:szCs w:val="26"/>
        </w:rPr>
        <w:t xml:space="preserve">and online banking </w:t>
      </w:r>
      <w:r>
        <w:rPr>
          <w:rFonts w:ascii="Bookman Old Style" w:hAnsi="Bookman Old Style"/>
          <w:sz w:val="26"/>
          <w:szCs w:val="26"/>
        </w:rPr>
        <w:t>use encryption and connect to the internet, so such a prohibition</w:t>
      </w:r>
      <w:r w:rsidR="00F813D3">
        <w:rPr>
          <w:rFonts w:ascii="Bookman Old Style" w:hAnsi="Bookman Old Style"/>
          <w:sz w:val="26"/>
          <w:szCs w:val="26"/>
        </w:rPr>
        <w:t xml:space="preserve"> is an imposed vow of poverty. Mental health professionals, food delivery services and online libraries all require the use of encryption software on devices connected to the internet. In 2020, when lockdowns and cash businesses are regularly closed by the state due to disease and fire, the denial of the right to use encryption software on devices that connect to the internet is nothing less than an exclusion from civilization itself. </w:t>
      </w:r>
    </w:p>
    <w:p w:rsidR="00065926" w:rsidRPr="00065926" w:rsidRDefault="00702976" w:rsidP="00065926">
      <w:pPr>
        <w:pStyle w:val="NormalWeb"/>
        <w:numPr>
          <w:ilvl w:val="0"/>
          <w:numId w:val="12"/>
        </w:numPr>
        <w:spacing w:line="360" w:lineRule="auto"/>
        <w:rPr>
          <w:rFonts w:ascii="Bookman Old Style" w:hAnsi="Bookman Old Style"/>
          <w:sz w:val="26"/>
          <w:szCs w:val="26"/>
        </w:rPr>
      </w:pPr>
      <w:r>
        <w:rPr>
          <w:rFonts w:ascii="Bookman Old Style" w:hAnsi="Bookman Old Style"/>
          <w:sz w:val="26"/>
          <w:szCs w:val="26"/>
          <w:u w:val="single"/>
        </w:rPr>
        <w:lastRenderedPageBreak/>
        <w:t>Established case law recognizes that restrictions on encryption are restrictions on freedom of speech</w:t>
      </w:r>
    </w:p>
    <w:p w:rsidR="003635E4" w:rsidRDefault="003635E4" w:rsidP="006C786B">
      <w:pPr>
        <w:pStyle w:val="NormalWeb"/>
        <w:spacing w:line="360" w:lineRule="auto"/>
        <w:ind w:firstLine="360"/>
        <w:rPr>
          <w:rFonts w:ascii="Bookman Old Style" w:hAnsi="Bookman Old Style"/>
          <w:sz w:val="26"/>
          <w:szCs w:val="26"/>
        </w:rPr>
      </w:pPr>
      <w:r>
        <w:rPr>
          <w:rFonts w:ascii="Bookman Old Style" w:hAnsi="Bookman Old Style"/>
          <w:sz w:val="26"/>
          <w:szCs w:val="26"/>
        </w:rPr>
        <w:t xml:space="preserve">In 1997, The Northern Federal District Court of California heard the case of </w:t>
      </w:r>
      <w:r w:rsidRPr="003635E4">
        <w:rPr>
          <w:rFonts w:ascii="Bookman Old Style" w:hAnsi="Bookman Old Style"/>
          <w:i/>
          <w:iCs/>
          <w:sz w:val="26"/>
          <w:szCs w:val="26"/>
        </w:rPr>
        <w:t>Bernstein v. U.S. Dept. of State</w:t>
      </w:r>
      <w:r>
        <w:rPr>
          <w:rFonts w:ascii="Bookman Old Style" w:hAnsi="Bookman Old Style"/>
          <w:sz w:val="26"/>
          <w:szCs w:val="26"/>
        </w:rPr>
        <w:t>,</w:t>
      </w:r>
      <w:r>
        <w:rPr>
          <w:rStyle w:val="FootnoteReference"/>
          <w:rFonts w:ascii="Bookman Old Style" w:hAnsi="Bookman Old Style"/>
          <w:sz w:val="26"/>
          <w:szCs w:val="26"/>
        </w:rPr>
        <w:footnoteReference w:id="30"/>
      </w:r>
      <w:r>
        <w:rPr>
          <w:rFonts w:ascii="Bookman Old Style" w:hAnsi="Bookman Old Style"/>
          <w:sz w:val="26"/>
          <w:szCs w:val="26"/>
        </w:rPr>
        <w:t xml:space="preserve"> which concerned legal prohibitions placed on a Berkeley computer scientist who developed an encryption and decryption protocol. The U.S. Department of State, citing national security concerns that the protocol could be used as a weapon, sought to impose an executive order on the scientist, limiting its distribution.</w:t>
      </w:r>
      <w:r>
        <w:rPr>
          <w:rStyle w:val="FootnoteReference"/>
          <w:rFonts w:ascii="Bookman Old Style" w:hAnsi="Bookman Old Style"/>
          <w:sz w:val="26"/>
          <w:szCs w:val="26"/>
        </w:rPr>
        <w:footnoteReference w:id="31"/>
      </w:r>
      <w:r>
        <w:rPr>
          <w:rFonts w:ascii="Bookman Old Style" w:hAnsi="Bookman Old Style"/>
          <w:sz w:val="26"/>
          <w:szCs w:val="26"/>
        </w:rPr>
        <w:t xml:space="preserve"> The scientist sued in federal court to have the executive order declared unconstitutional as a prior restraint of freedom of speech.</w:t>
      </w:r>
      <w:r>
        <w:rPr>
          <w:rStyle w:val="FootnoteReference"/>
          <w:rFonts w:ascii="Bookman Old Style" w:hAnsi="Bookman Old Style"/>
          <w:sz w:val="26"/>
          <w:szCs w:val="26"/>
        </w:rPr>
        <w:footnoteReference w:id="32"/>
      </w:r>
      <w:r>
        <w:rPr>
          <w:rFonts w:ascii="Bookman Old Style" w:hAnsi="Bookman Old Style"/>
          <w:sz w:val="26"/>
          <w:szCs w:val="26"/>
        </w:rPr>
        <w:t xml:space="preserve"> That court’s opinion is deeply complex and concerns multiple counts and allegations concerning byzantine and rapidly adjusting attempts by the Clinton administration to craft regulation</w:t>
      </w:r>
      <w:r w:rsidR="0063301F">
        <w:rPr>
          <w:rFonts w:ascii="Bookman Old Style" w:hAnsi="Bookman Old Style"/>
          <w:sz w:val="26"/>
          <w:szCs w:val="26"/>
        </w:rPr>
        <w:t xml:space="preserve"> through the course of the litigation</w:t>
      </w:r>
      <w:r>
        <w:rPr>
          <w:rFonts w:ascii="Bookman Old Style" w:hAnsi="Bookman Old Style"/>
          <w:sz w:val="26"/>
          <w:szCs w:val="26"/>
        </w:rPr>
        <w:t xml:space="preserve">, but the basic holding of the court after many iterations was that encryption programs are themselves speech, and that even licensing limitations on them amount to prior restraint, and are thus </w:t>
      </w:r>
      <w:r w:rsidR="00065926">
        <w:rPr>
          <w:rFonts w:ascii="Bookman Old Style" w:hAnsi="Bookman Old Style"/>
          <w:sz w:val="26"/>
          <w:szCs w:val="26"/>
        </w:rPr>
        <w:t>un</w:t>
      </w:r>
      <w:r>
        <w:rPr>
          <w:rFonts w:ascii="Bookman Old Style" w:hAnsi="Bookman Old Style"/>
          <w:sz w:val="26"/>
          <w:szCs w:val="26"/>
        </w:rPr>
        <w:t>constitutional.</w:t>
      </w:r>
      <w:r>
        <w:rPr>
          <w:rStyle w:val="FootnoteReference"/>
          <w:rFonts w:ascii="Bookman Old Style" w:hAnsi="Bookman Old Style"/>
          <w:sz w:val="26"/>
          <w:szCs w:val="26"/>
        </w:rPr>
        <w:footnoteReference w:id="33"/>
      </w:r>
      <w:r>
        <w:rPr>
          <w:rFonts w:ascii="Bookman Old Style" w:hAnsi="Bookman Old Style"/>
          <w:sz w:val="26"/>
          <w:szCs w:val="26"/>
        </w:rPr>
        <w:t xml:space="preserve"> Furthermore, that court held that the regulations in question, since they concerned speech, were subject to the higher level of </w:t>
      </w:r>
      <w:r w:rsidR="00217C55">
        <w:rPr>
          <w:rFonts w:ascii="Bookman Old Style" w:hAnsi="Bookman Old Style"/>
          <w:sz w:val="26"/>
          <w:szCs w:val="26"/>
        </w:rPr>
        <w:t>over breadth</w:t>
      </w:r>
      <w:r>
        <w:rPr>
          <w:rFonts w:ascii="Bookman Old Style" w:hAnsi="Bookman Old Style"/>
          <w:sz w:val="26"/>
          <w:szCs w:val="26"/>
        </w:rPr>
        <w:t xml:space="preserve"> scrutiny reserved for </w:t>
      </w:r>
      <w:r w:rsidR="00CA7C1D">
        <w:rPr>
          <w:rFonts w:ascii="Bookman Old Style" w:hAnsi="Bookman Old Style"/>
          <w:sz w:val="26"/>
          <w:szCs w:val="26"/>
        </w:rPr>
        <w:t>such restrictions</w:t>
      </w:r>
      <w:r>
        <w:rPr>
          <w:rFonts w:ascii="Bookman Old Style" w:hAnsi="Bookman Old Style"/>
          <w:sz w:val="26"/>
          <w:szCs w:val="26"/>
        </w:rPr>
        <w:t>,</w:t>
      </w:r>
      <w:r>
        <w:rPr>
          <w:rStyle w:val="FootnoteReference"/>
          <w:rFonts w:ascii="Bookman Old Style" w:hAnsi="Bookman Old Style"/>
          <w:sz w:val="26"/>
          <w:szCs w:val="26"/>
        </w:rPr>
        <w:footnoteReference w:id="34"/>
      </w:r>
      <w:r>
        <w:rPr>
          <w:rFonts w:ascii="Bookman Old Style" w:hAnsi="Bookman Old Style"/>
          <w:sz w:val="26"/>
          <w:szCs w:val="26"/>
        </w:rPr>
        <w:t xml:space="preserve"> and </w:t>
      </w:r>
      <w:r>
        <w:rPr>
          <w:rFonts w:ascii="Bookman Old Style" w:hAnsi="Bookman Old Style"/>
          <w:sz w:val="26"/>
          <w:szCs w:val="26"/>
        </w:rPr>
        <w:lastRenderedPageBreak/>
        <w:t>that court</w:t>
      </w:r>
      <w:r w:rsidR="00CA7C1D">
        <w:rPr>
          <w:rFonts w:ascii="Bookman Old Style" w:hAnsi="Bookman Old Style"/>
          <w:sz w:val="26"/>
          <w:szCs w:val="26"/>
        </w:rPr>
        <w:t xml:space="preserve"> then</w:t>
      </w:r>
      <w:r>
        <w:rPr>
          <w:rFonts w:ascii="Bookman Old Style" w:hAnsi="Bookman Old Style"/>
          <w:sz w:val="26"/>
          <w:szCs w:val="26"/>
        </w:rPr>
        <w:t xml:space="preserve"> found th</w:t>
      </w:r>
      <w:r w:rsidR="00CA7C1D">
        <w:rPr>
          <w:rFonts w:ascii="Bookman Old Style" w:hAnsi="Bookman Old Style"/>
          <w:sz w:val="26"/>
          <w:szCs w:val="26"/>
        </w:rPr>
        <w:t xml:space="preserve">e federal government’s licensing restrictions overbroad as well as </w:t>
      </w:r>
      <w:r w:rsidR="006C786B">
        <w:rPr>
          <w:rFonts w:ascii="Bookman Old Style" w:hAnsi="Bookman Old Style"/>
          <w:sz w:val="26"/>
          <w:szCs w:val="26"/>
        </w:rPr>
        <w:t xml:space="preserve">a </w:t>
      </w:r>
      <w:r w:rsidR="00CA7C1D">
        <w:rPr>
          <w:rFonts w:ascii="Bookman Old Style" w:hAnsi="Bookman Old Style"/>
          <w:sz w:val="26"/>
          <w:szCs w:val="26"/>
        </w:rPr>
        <w:t>prior restraint.</w:t>
      </w:r>
      <w:r w:rsidR="00CA7C1D">
        <w:rPr>
          <w:rStyle w:val="FootnoteReference"/>
          <w:rFonts w:ascii="Bookman Old Style" w:hAnsi="Bookman Old Style"/>
          <w:sz w:val="26"/>
          <w:szCs w:val="26"/>
        </w:rPr>
        <w:footnoteReference w:id="35"/>
      </w:r>
    </w:p>
    <w:p w:rsidR="00CA7C1D" w:rsidRDefault="00CA7C1D" w:rsidP="00671F87">
      <w:pPr>
        <w:pStyle w:val="NormalWeb"/>
        <w:spacing w:line="360" w:lineRule="auto"/>
        <w:rPr>
          <w:rFonts w:ascii="Bookman Old Style" w:hAnsi="Bookman Old Style"/>
          <w:sz w:val="26"/>
          <w:szCs w:val="26"/>
        </w:rPr>
      </w:pPr>
      <w:r>
        <w:rPr>
          <w:rFonts w:ascii="Bookman Old Style" w:hAnsi="Bookman Old Style"/>
          <w:sz w:val="26"/>
          <w:szCs w:val="26"/>
        </w:rPr>
        <w:tab/>
        <w:t xml:space="preserve">There is no reason to believe that the outcome of the </w:t>
      </w:r>
      <w:r w:rsidRPr="00CA7C1D">
        <w:rPr>
          <w:rFonts w:ascii="Bookman Old Style" w:hAnsi="Bookman Old Style"/>
          <w:i/>
          <w:iCs/>
          <w:sz w:val="26"/>
          <w:szCs w:val="26"/>
        </w:rPr>
        <w:t>Bernstein</w:t>
      </w:r>
      <w:r>
        <w:rPr>
          <w:rFonts w:ascii="Bookman Old Style" w:hAnsi="Bookman Old Style"/>
          <w:sz w:val="26"/>
          <w:szCs w:val="26"/>
        </w:rPr>
        <w:t xml:space="preserve"> case would have been different if, rather than a scientist developing and distributing the protocol, Bernstein had been a private citizen using it. The First Amendment protects the reader as well as the writer, and the consumer of media as well as its producer.</w:t>
      </w:r>
      <w:r>
        <w:rPr>
          <w:rStyle w:val="FootnoteReference"/>
          <w:rFonts w:ascii="Bookman Old Style" w:hAnsi="Bookman Old Style"/>
          <w:sz w:val="26"/>
          <w:szCs w:val="26"/>
        </w:rPr>
        <w:footnoteReference w:id="36"/>
      </w:r>
      <w:r>
        <w:rPr>
          <w:rFonts w:ascii="Bookman Old Style" w:hAnsi="Bookman Old Style"/>
          <w:sz w:val="26"/>
          <w:szCs w:val="26"/>
        </w:rPr>
        <w:t xml:space="preserve"> It is the software itself which is the subject of the </w:t>
      </w:r>
      <w:r>
        <w:rPr>
          <w:rFonts w:ascii="Bookman Old Style" w:hAnsi="Bookman Old Style"/>
          <w:i/>
          <w:iCs/>
          <w:sz w:val="26"/>
          <w:szCs w:val="26"/>
        </w:rPr>
        <w:t>Bernstein</w:t>
      </w:r>
      <w:r>
        <w:rPr>
          <w:rFonts w:ascii="Bookman Old Style" w:hAnsi="Bookman Old Style"/>
          <w:sz w:val="26"/>
          <w:szCs w:val="26"/>
        </w:rPr>
        <w:t xml:space="preserve"> court’s findings, and these findings comport with common sense.</w:t>
      </w:r>
    </w:p>
    <w:p w:rsidR="006F1EA0" w:rsidRDefault="0024633D" w:rsidP="00671F87">
      <w:pPr>
        <w:pStyle w:val="NormalWeb"/>
        <w:spacing w:line="360" w:lineRule="auto"/>
        <w:rPr>
          <w:rFonts w:ascii="Bookman Old Style" w:hAnsi="Bookman Old Style"/>
          <w:sz w:val="26"/>
          <w:szCs w:val="26"/>
        </w:rPr>
      </w:pPr>
      <w:r>
        <w:rPr>
          <w:rFonts w:ascii="Bookman Old Style" w:hAnsi="Bookman Old Style"/>
          <w:sz w:val="26"/>
          <w:szCs w:val="26"/>
        </w:rPr>
        <w:tab/>
        <w:t xml:space="preserve">The case at bar involves a much broader, much less well-defined regulation than the executive order in the </w:t>
      </w:r>
      <w:r>
        <w:rPr>
          <w:rFonts w:ascii="Bookman Old Style" w:hAnsi="Bookman Old Style"/>
          <w:i/>
          <w:iCs/>
          <w:sz w:val="26"/>
          <w:szCs w:val="26"/>
        </w:rPr>
        <w:t>Bernstein</w:t>
      </w:r>
      <w:r>
        <w:rPr>
          <w:rFonts w:ascii="Bookman Old Style" w:hAnsi="Bookman Old Style"/>
          <w:sz w:val="26"/>
          <w:szCs w:val="26"/>
        </w:rPr>
        <w:t xml:space="preserve"> case. Whereas that case involved a complex and intricate regulatory framework, here again the order sought to be modified presents a single, all-caps sentence which could have any meaning at all. What is “encryption software?” Does that include only standalone applications for encrypting on-disk files like Veracrypt, or does it include the encryption and decryption protocols that must exist in every modern web browser? Does it include decryption software or encryption software used for decryption? Does it include email or instant messaging? Does this refer to all encryption, or just end-to-end encryption (the kind with no third party having the cipher)? Does it include file compression programs like WinRar which can be used to encrypt, but are also simply necessary for</w:t>
      </w:r>
      <w:r w:rsidR="00E55A54">
        <w:rPr>
          <w:rFonts w:ascii="Bookman Old Style" w:hAnsi="Bookman Old Style"/>
          <w:sz w:val="26"/>
          <w:szCs w:val="26"/>
        </w:rPr>
        <w:t xml:space="preserve"> packaging files </w:t>
      </w:r>
      <w:r w:rsidR="00E55A54">
        <w:rPr>
          <w:rFonts w:ascii="Bookman Old Style" w:hAnsi="Bookman Old Style"/>
          <w:sz w:val="26"/>
          <w:szCs w:val="26"/>
        </w:rPr>
        <w:lastRenderedPageBreak/>
        <w:t xml:space="preserve">for easy transmission? What about ATMs or electronic voting machines? Can he sign for a package when a delivery driver from UPS asks him to sign an electronic pad?  More importantly, how, without any existing </w:t>
      </w:r>
      <w:r w:rsidR="006C786B">
        <w:rPr>
          <w:rFonts w:ascii="Bookman Old Style" w:hAnsi="Bookman Old Style"/>
          <w:sz w:val="26"/>
          <w:szCs w:val="26"/>
        </w:rPr>
        <w:t>case law, is Mr. Ervin</w:t>
      </w:r>
      <w:r w:rsidR="00E55A54">
        <w:rPr>
          <w:rFonts w:ascii="Bookman Old Style" w:hAnsi="Bookman Old Style"/>
          <w:sz w:val="26"/>
          <w:szCs w:val="26"/>
        </w:rPr>
        <w:t xml:space="preserve"> or his lawyer meant to figure out the answers to these questions? It cannot be done. This prohibition would be among the most overbroad legal commands to ever escape a judge’s pen, </w:t>
      </w:r>
      <w:r w:rsidR="00A41815">
        <w:rPr>
          <w:rFonts w:ascii="Bookman Old Style" w:hAnsi="Bookman Old Style"/>
          <w:sz w:val="26"/>
          <w:szCs w:val="26"/>
        </w:rPr>
        <w:t xml:space="preserve">(and doubtless </w:t>
      </w:r>
      <w:r w:rsidR="00E55A54">
        <w:rPr>
          <w:rFonts w:ascii="Bookman Old Style" w:hAnsi="Bookman Old Style"/>
          <w:sz w:val="26"/>
          <w:szCs w:val="26"/>
        </w:rPr>
        <w:t>the order was generated automatically on a computer which is doubtlessly connected to the inte</w:t>
      </w:r>
      <w:r w:rsidR="00A41815">
        <w:rPr>
          <w:rFonts w:ascii="Bookman Old Style" w:hAnsi="Bookman Old Style"/>
          <w:sz w:val="26"/>
          <w:szCs w:val="26"/>
        </w:rPr>
        <w:t>rnet using encryption protocols).</w:t>
      </w:r>
    </w:p>
    <w:p w:rsidR="006F1EA0" w:rsidRDefault="006F1EA0" w:rsidP="00671F87">
      <w:pPr>
        <w:pStyle w:val="NormalWeb"/>
        <w:spacing w:line="360" w:lineRule="auto"/>
        <w:rPr>
          <w:rFonts w:ascii="Bookman Old Style" w:hAnsi="Bookman Old Style"/>
          <w:sz w:val="26"/>
          <w:szCs w:val="26"/>
        </w:rPr>
      </w:pPr>
      <w:r>
        <w:rPr>
          <w:rFonts w:ascii="Bookman Old Style" w:hAnsi="Bookman Old Style"/>
          <w:b/>
          <w:bCs/>
          <w:sz w:val="26"/>
          <w:szCs w:val="26"/>
        </w:rPr>
        <w:t xml:space="preserve">3. The </w:t>
      </w:r>
      <w:r w:rsidR="006C786B">
        <w:rPr>
          <w:rFonts w:ascii="Bookman Old Style" w:hAnsi="Bookman Old Style"/>
          <w:b/>
          <w:bCs/>
          <w:sz w:val="26"/>
          <w:szCs w:val="26"/>
        </w:rPr>
        <w:t>bail condition requiring Mr. Ervin</w:t>
      </w:r>
      <w:r>
        <w:rPr>
          <w:rFonts w:ascii="Bookman Old Style" w:hAnsi="Bookman Old Style"/>
          <w:b/>
          <w:bCs/>
          <w:sz w:val="26"/>
          <w:szCs w:val="26"/>
        </w:rPr>
        <w:t xml:space="preserve"> to provide passwords violates his privilege against self-incrimination</w:t>
      </w:r>
      <w:r w:rsidR="00170666">
        <w:rPr>
          <w:rFonts w:ascii="Bookman Old Style" w:hAnsi="Bookman Old Style"/>
          <w:b/>
          <w:bCs/>
          <w:sz w:val="26"/>
          <w:szCs w:val="26"/>
        </w:rPr>
        <w:t>, his right to counsel and</w:t>
      </w:r>
      <w:r>
        <w:rPr>
          <w:rFonts w:ascii="Bookman Old Style" w:hAnsi="Bookman Old Style"/>
          <w:b/>
          <w:bCs/>
          <w:sz w:val="26"/>
          <w:szCs w:val="26"/>
        </w:rPr>
        <w:t xml:space="preserve"> his right to privacy.</w:t>
      </w:r>
    </w:p>
    <w:p w:rsidR="006F1EA0" w:rsidRDefault="006F1EA0" w:rsidP="00671F87">
      <w:pPr>
        <w:pStyle w:val="NormalWeb"/>
        <w:spacing w:line="360" w:lineRule="auto"/>
        <w:rPr>
          <w:rFonts w:ascii="Bookman Old Style" w:hAnsi="Bookman Old Style"/>
          <w:sz w:val="26"/>
          <w:szCs w:val="26"/>
        </w:rPr>
      </w:pPr>
      <w:r>
        <w:rPr>
          <w:rFonts w:ascii="Bookman Old Style" w:hAnsi="Bookman Old Style"/>
          <w:sz w:val="26"/>
          <w:szCs w:val="26"/>
        </w:rPr>
        <w:tab/>
        <w:t>Fifth Amendment jurisprudence includes not only self-incriminating testimony in court, but also testimonial evidence produced to law enforcement for the purpose of being used in court against the defendant.</w:t>
      </w:r>
      <w:r w:rsidR="0049092C">
        <w:rPr>
          <w:rStyle w:val="FootnoteReference"/>
          <w:rFonts w:ascii="Bookman Old Style" w:hAnsi="Bookman Old Style"/>
          <w:sz w:val="26"/>
          <w:szCs w:val="26"/>
        </w:rPr>
        <w:footnoteReference w:id="37"/>
      </w:r>
      <w:r w:rsidR="0049092C">
        <w:rPr>
          <w:rFonts w:ascii="Bookman Old Style" w:hAnsi="Bookman Old Style"/>
          <w:sz w:val="26"/>
          <w:szCs w:val="26"/>
        </w:rPr>
        <w:t xml:space="preserve"> The scope of the privilege against self-incrimination is wide and deep and covers not only outright admissions of criminal culpability, but anything which could lead to evidence of a crime.</w:t>
      </w:r>
      <w:r w:rsidR="0049092C">
        <w:rPr>
          <w:rStyle w:val="FootnoteReference"/>
          <w:rFonts w:ascii="Bookman Old Style" w:hAnsi="Bookman Old Style"/>
          <w:sz w:val="26"/>
          <w:szCs w:val="26"/>
        </w:rPr>
        <w:footnoteReference w:id="38"/>
      </w:r>
      <w:r>
        <w:rPr>
          <w:rFonts w:ascii="Bookman Old Style" w:hAnsi="Bookman Old Style"/>
          <w:sz w:val="26"/>
          <w:szCs w:val="26"/>
        </w:rPr>
        <w:t xml:space="preserve"> </w:t>
      </w:r>
      <w:r w:rsidR="00170666">
        <w:rPr>
          <w:rFonts w:ascii="Bookman Old Style" w:hAnsi="Bookman Old Style"/>
          <w:sz w:val="26"/>
          <w:szCs w:val="26"/>
        </w:rPr>
        <w:t>The touchstone of the privilege against self-incrimination is a defendant should not be compelled to disclose the contents of his/her own mind.</w:t>
      </w:r>
      <w:r w:rsidR="00170666">
        <w:rPr>
          <w:rStyle w:val="FootnoteReference"/>
          <w:rFonts w:ascii="Bookman Old Style" w:hAnsi="Bookman Old Style"/>
          <w:sz w:val="26"/>
          <w:szCs w:val="26"/>
        </w:rPr>
        <w:footnoteReference w:id="39"/>
      </w:r>
      <w:r w:rsidR="00170666">
        <w:rPr>
          <w:rFonts w:ascii="Bookman Old Style" w:hAnsi="Bookman Old Style"/>
          <w:sz w:val="26"/>
          <w:szCs w:val="26"/>
        </w:rPr>
        <w:t xml:space="preserve"> </w:t>
      </w:r>
      <w:r w:rsidR="0049092C">
        <w:rPr>
          <w:rFonts w:ascii="Bookman Old Style" w:hAnsi="Bookman Old Style"/>
          <w:sz w:val="26"/>
          <w:szCs w:val="26"/>
        </w:rPr>
        <w:t xml:space="preserve">Criminal </w:t>
      </w:r>
      <w:r w:rsidR="0049092C">
        <w:rPr>
          <w:rFonts w:ascii="Bookman Old Style" w:hAnsi="Bookman Old Style"/>
          <w:sz w:val="26"/>
          <w:szCs w:val="26"/>
        </w:rPr>
        <w:lastRenderedPageBreak/>
        <w:t>defendants</w:t>
      </w:r>
      <w:r>
        <w:rPr>
          <w:rFonts w:ascii="Bookman Old Style" w:hAnsi="Bookman Old Style"/>
          <w:sz w:val="26"/>
          <w:szCs w:val="26"/>
        </w:rPr>
        <w:t xml:space="preserve"> are often doubly protected</w:t>
      </w:r>
      <w:r w:rsidR="0049092C">
        <w:rPr>
          <w:rFonts w:ascii="Bookman Old Style" w:hAnsi="Bookman Old Style"/>
          <w:sz w:val="26"/>
          <w:szCs w:val="26"/>
        </w:rPr>
        <w:t xml:space="preserve"> from such questioning</w:t>
      </w:r>
      <w:r>
        <w:rPr>
          <w:rFonts w:ascii="Bookman Old Style" w:hAnsi="Bookman Old Style"/>
          <w:sz w:val="26"/>
          <w:szCs w:val="26"/>
        </w:rPr>
        <w:t xml:space="preserve"> once they have been appointed counsel because such requests violate the right to counsel as recognized in the </w:t>
      </w:r>
      <w:r>
        <w:rPr>
          <w:rFonts w:ascii="Bookman Old Style" w:hAnsi="Bookman Old Style"/>
          <w:i/>
          <w:iCs/>
          <w:sz w:val="26"/>
          <w:szCs w:val="26"/>
        </w:rPr>
        <w:t>Massiah</w:t>
      </w:r>
      <w:r>
        <w:rPr>
          <w:rFonts w:ascii="Bookman Old Style" w:hAnsi="Bookman Old Style"/>
          <w:sz w:val="26"/>
          <w:szCs w:val="26"/>
        </w:rPr>
        <w:t xml:space="preserve"> line of cases.</w:t>
      </w:r>
      <w:r>
        <w:rPr>
          <w:rStyle w:val="FootnoteReference"/>
          <w:rFonts w:ascii="Bookman Old Style" w:hAnsi="Bookman Old Style"/>
          <w:sz w:val="26"/>
          <w:szCs w:val="26"/>
        </w:rPr>
        <w:footnoteReference w:id="40"/>
      </w:r>
      <w:r w:rsidR="0049092C">
        <w:rPr>
          <w:rFonts w:ascii="Bookman Old Style" w:hAnsi="Bookman Old Style"/>
          <w:sz w:val="26"/>
          <w:szCs w:val="26"/>
        </w:rPr>
        <w:t xml:space="preserve"> For such questioning to be compelled by a court order does not cure this defect in any way. Indeed, the core of the privilege against self-incrimination is precisely created to prevent a situation in which the defendant is ordered by a court to self-incriminate. That such an order would be enforceable by incarceration through revocation of bail rather than incarceration by a finding of contempt makes little practical differenc</w:t>
      </w:r>
      <w:r w:rsidR="001B234C">
        <w:rPr>
          <w:rFonts w:ascii="Bookman Old Style" w:hAnsi="Bookman Old Style"/>
          <w:sz w:val="26"/>
          <w:szCs w:val="26"/>
        </w:rPr>
        <w:t>e.</w:t>
      </w:r>
    </w:p>
    <w:p w:rsidR="009A2419" w:rsidRDefault="0049092C" w:rsidP="006F20BE">
      <w:pPr>
        <w:pStyle w:val="NormalWeb"/>
        <w:spacing w:line="360" w:lineRule="auto"/>
        <w:rPr>
          <w:rFonts w:ascii="Bookman Old Style" w:hAnsi="Bookman Old Style"/>
          <w:sz w:val="26"/>
          <w:szCs w:val="26"/>
        </w:rPr>
      </w:pPr>
      <w:r>
        <w:rPr>
          <w:rFonts w:ascii="Bookman Old Style" w:hAnsi="Bookman Old Style"/>
          <w:sz w:val="26"/>
          <w:szCs w:val="26"/>
        </w:rPr>
        <w:tab/>
        <w:t>Here, an order compelling the defendant to produ</w:t>
      </w:r>
      <w:r w:rsidR="00824DEF">
        <w:rPr>
          <w:rFonts w:ascii="Bookman Old Style" w:hAnsi="Bookman Old Style"/>
          <w:sz w:val="26"/>
          <w:szCs w:val="26"/>
        </w:rPr>
        <w:t xml:space="preserve">ce passwords </w:t>
      </w:r>
      <w:r w:rsidR="00A41815">
        <w:rPr>
          <w:rFonts w:ascii="Bookman Old Style" w:hAnsi="Bookman Old Style"/>
          <w:sz w:val="26"/>
          <w:szCs w:val="26"/>
        </w:rPr>
        <w:t xml:space="preserve">to law enforcement, outside the presence of his appointed counsel, </w:t>
      </w:r>
      <w:r w:rsidR="00824DEF">
        <w:rPr>
          <w:rFonts w:ascii="Bookman Old Style" w:hAnsi="Bookman Old Style"/>
          <w:sz w:val="26"/>
          <w:szCs w:val="26"/>
        </w:rPr>
        <w:t xml:space="preserve">is obviously intended to aid law enforcement in their search </w:t>
      </w:r>
      <w:r w:rsidR="006F20BE">
        <w:rPr>
          <w:rFonts w:ascii="Bookman Old Style" w:hAnsi="Bookman Old Style"/>
          <w:sz w:val="26"/>
          <w:szCs w:val="26"/>
        </w:rPr>
        <w:t>for incrimi</w:t>
      </w:r>
      <w:r w:rsidR="00A41815">
        <w:rPr>
          <w:rFonts w:ascii="Bookman Old Style" w:hAnsi="Bookman Old Style"/>
          <w:sz w:val="26"/>
          <w:szCs w:val="26"/>
        </w:rPr>
        <w:t>nating evidence against Mr. Ervin.</w:t>
      </w:r>
      <w:r w:rsidR="006F20BE">
        <w:rPr>
          <w:rFonts w:ascii="Bookman Old Style" w:hAnsi="Bookman Old Style"/>
          <w:sz w:val="26"/>
          <w:szCs w:val="26"/>
        </w:rPr>
        <w:t xml:space="preserve"> If similar prosecutions are of any indication, they are not only hoping to find more contraband, but also metadata and anything that would help them to prove that </w:t>
      </w:r>
      <w:r w:rsidR="00A41815">
        <w:rPr>
          <w:rFonts w:ascii="Bookman Old Style" w:hAnsi="Bookman Old Style"/>
          <w:sz w:val="26"/>
          <w:szCs w:val="26"/>
        </w:rPr>
        <w:t xml:space="preserve">Mr. Ervin </w:t>
      </w:r>
      <w:r w:rsidR="006F20BE">
        <w:rPr>
          <w:rFonts w:ascii="Bookman Old Style" w:hAnsi="Bookman Old Style"/>
          <w:sz w:val="26"/>
          <w:szCs w:val="26"/>
        </w:rPr>
        <w:t>accessed and made deliberate choices to acquire the contraband at issue in the two counts already pled, or that he had knowledge that the contraband was on his computer, or that the computer in question belonged to him. Assuming without admitting that the device at issue did in fact belong to</w:t>
      </w:r>
      <w:r w:rsidR="00A41815">
        <w:rPr>
          <w:rFonts w:ascii="Bookman Old Style" w:hAnsi="Bookman Old Style"/>
          <w:sz w:val="26"/>
          <w:szCs w:val="26"/>
        </w:rPr>
        <w:t xml:space="preserve"> Mr. Ervin</w:t>
      </w:r>
      <w:r w:rsidR="006F20BE">
        <w:rPr>
          <w:rFonts w:ascii="Bookman Old Style" w:hAnsi="Bookman Old Style"/>
          <w:sz w:val="26"/>
          <w:szCs w:val="26"/>
        </w:rPr>
        <w:t>, even giving a password to gain basic metadata would be incriminating, and therefore protected by the privilege against self-incrimination. Such information would also be  protected by the right to counsel si</w:t>
      </w:r>
      <w:r w:rsidR="00A41815">
        <w:rPr>
          <w:rFonts w:ascii="Bookman Old Style" w:hAnsi="Bookman Old Style"/>
          <w:sz w:val="26"/>
          <w:szCs w:val="26"/>
        </w:rPr>
        <w:t xml:space="preserve">nce Mr. Ervin </w:t>
      </w:r>
      <w:r w:rsidR="006F20BE">
        <w:rPr>
          <w:rFonts w:ascii="Bookman Old Style" w:hAnsi="Bookman Old Style"/>
          <w:sz w:val="26"/>
          <w:szCs w:val="26"/>
        </w:rPr>
        <w:t>has been appointed counsel.</w:t>
      </w:r>
    </w:p>
    <w:p w:rsidR="009A2419" w:rsidRPr="007B37EF" w:rsidRDefault="009A2419" w:rsidP="00A41815">
      <w:pPr>
        <w:pStyle w:val="NormalWeb"/>
        <w:numPr>
          <w:ilvl w:val="0"/>
          <w:numId w:val="15"/>
        </w:numPr>
        <w:spacing w:line="360" w:lineRule="auto"/>
        <w:rPr>
          <w:rFonts w:ascii="Bookman Old Style" w:hAnsi="Bookman Old Style"/>
          <w:sz w:val="26"/>
          <w:szCs w:val="26"/>
          <w:u w:val="single"/>
        </w:rPr>
      </w:pPr>
      <w:r>
        <w:rPr>
          <w:rFonts w:ascii="Bookman Old Style" w:hAnsi="Bookman Old Style"/>
          <w:sz w:val="26"/>
          <w:szCs w:val="26"/>
          <w:u w:val="single"/>
        </w:rPr>
        <w:lastRenderedPageBreak/>
        <w:t xml:space="preserve">The Password condition violates </w:t>
      </w:r>
      <w:r w:rsidR="00A41815">
        <w:rPr>
          <w:rFonts w:ascii="Bookman Old Style" w:hAnsi="Bookman Old Style"/>
          <w:sz w:val="26"/>
          <w:szCs w:val="26"/>
          <w:u w:val="single"/>
        </w:rPr>
        <w:t>Mr. Ervin’s</w:t>
      </w:r>
      <w:r>
        <w:rPr>
          <w:rFonts w:ascii="Bookman Old Style" w:hAnsi="Bookman Old Style"/>
          <w:sz w:val="26"/>
          <w:szCs w:val="26"/>
          <w:u w:val="single"/>
        </w:rPr>
        <w:t xml:space="preserve"> right to be free of unreasonable and unwarranted search</w:t>
      </w:r>
      <w:r w:rsidR="006F20BE">
        <w:rPr>
          <w:rFonts w:ascii="Bookman Old Style" w:hAnsi="Bookman Old Style"/>
          <w:sz w:val="26"/>
          <w:szCs w:val="26"/>
        </w:rPr>
        <w:t xml:space="preserve"> </w:t>
      </w:r>
    </w:p>
    <w:p w:rsidR="0065315B" w:rsidRDefault="00A41815" w:rsidP="00BC681C">
      <w:pPr>
        <w:pStyle w:val="NormalWeb"/>
        <w:spacing w:line="360" w:lineRule="auto"/>
        <w:ind w:firstLine="720"/>
        <w:rPr>
          <w:rFonts w:ascii="Bookman Old Style" w:hAnsi="Bookman Old Style"/>
          <w:sz w:val="26"/>
          <w:szCs w:val="26"/>
        </w:rPr>
      </w:pPr>
      <w:r>
        <w:rPr>
          <w:rFonts w:ascii="Bookman Old Style" w:hAnsi="Bookman Old Style"/>
          <w:sz w:val="26"/>
          <w:szCs w:val="26"/>
        </w:rPr>
        <w:t>T</w:t>
      </w:r>
      <w:r w:rsidR="009A2419">
        <w:rPr>
          <w:rFonts w:ascii="Bookman Old Style" w:hAnsi="Bookman Old Style"/>
          <w:sz w:val="26"/>
          <w:szCs w:val="26"/>
        </w:rPr>
        <w:t xml:space="preserve">o compel </w:t>
      </w:r>
      <w:r>
        <w:rPr>
          <w:rFonts w:ascii="Bookman Old Style" w:hAnsi="Bookman Old Style"/>
          <w:sz w:val="26"/>
          <w:szCs w:val="26"/>
        </w:rPr>
        <w:t xml:space="preserve">Mr. Ervin </w:t>
      </w:r>
      <w:r w:rsidR="00B82D18">
        <w:rPr>
          <w:rFonts w:ascii="Bookman Old Style" w:hAnsi="Bookman Old Style"/>
          <w:sz w:val="26"/>
          <w:szCs w:val="26"/>
        </w:rPr>
        <w:t xml:space="preserve">to provide passwords to law enforcement </w:t>
      </w:r>
      <w:r w:rsidR="009A2419">
        <w:rPr>
          <w:rFonts w:ascii="Bookman Old Style" w:hAnsi="Bookman Old Style"/>
          <w:sz w:val="26"/>
          <w:szCs w:val="26"/>
        </w:rPr>
        <w:t xml:space="preserve">would </w:t>
      </w:r>
      <w:r w:rsidR="0065315B">
        <w:rPr>
          <w:rFonts w:ascii="Bookman Old Style" w:hAnsi="Bookman Old Style"/>
          <w:sz w:val="26"/>
          <w:szCs w:val="26"/>
        </w:rPr>
        <w:t>have the same 4</w:t>
      </w:r>
      <w:r w:rsidR="0065315B" w:rsidRPr="0065315B">
        <w:rPr>
          <w:rFonts w:ascii="Bookman Old Style" w:hAnsi="Bookman Old Style"/>
          <w:sz w:val="26"/>
          <w:szCs w:val="26"/>
          <w:vertAlign w:val="superscript"/>
        </w:rPr>
        <w:t>th</w:t>
      </w:r>
      <w:r w:rsidR="0065315B">
        <w:rPr>
          <w:rFonts w:ascii="Bookman Old Style" w:hAnsi="Bookman Old Style"/>
          <w:sz w:val="26"/>
          <w:szCs w:val="26"/>
        </w:rPr>
        <w:t xml:space="preserve"> Amendment effect as the police forcing them open. It would require a warrant which complies with the requirements imposed by the 4</w:t>
      </w:r>
      <w:r w:rsidR="0065315B" w:rsidRPr="0065315B">
        <w:rPr>
          <w:rFonts w:ascii="Bookman Old Style" w:hAnsi="Bookman Old Style"/>
          <w:sz w:val="26"/>
          <w:szCs w:val="26"/>
          <w:vertAlign w:val="superscript"/>
        </w:rPr>
        <w:t>th</w:t>
      </w:r>
      <w:r w:rsidR="0065315B">
        <w:rPr>
          <w:rFonts w:ascii="Bookman Old Style" w:hAnsi="Bookman Old Style"/>
          <w:sz w:val="26"/>
          <w:szCs w:val="26"/>
        </w:rPr>
        <w:t xml:space="preserve"> Amendment, already covered above under the search and seizure condition: probable cause, particularity in time, space and description, and a basis in sworn testimony. As with the search and seizure condition, none of these conditions are met even to the point that an officer could rely on them in good faith. Thus, this bail condition also violates </w:t>
      </w:r>
      <w:r w:rsidR="00B82D18">
        <w:rPr>
          <w:rFonts w:ascii="Bookman Old Style" w:hAnsi="Bookman Old Style"/>
          <w:sz w:val="26"/>
          <w:szCs w:val="26"/>
        </w:rPr>
        <w:t>Mr. Ervin’s</w:t>
      </w:r>
      <w:r w:rsidR="0065315B">
        <w:rPr>
          <w:rFonts w:ascii="Bookman Old Style" w:hAnsi="Bookman Old Style"/>
          <w:sz w:val="26"/>
          <w:szCs w:val="26"/>
        </w:rPr>
        <w:t xml:space="preserve"> 4</w:t>
      </w:r>
      <w:r w:rsidR="0065315B" w:rsidRPr="0065315B">
        <w:rPr>
          <w:rFonts w:ascii="Bookman Old Style" w:hAnsi="Bookman Old Style"/>
          <w:sz w:val="26"/>
          <w:szCs w:val="26"/>
          <w:vertAlign w:val="superscript"/>
        </w:rPr>
        <w:t>th</w:t>
      </w:r>
      <w:r w:rsidR="0065315B">
        <w:rPr>
          <w:rFonts w:ascii="Bookman Old Style" w:hAnsi="Bookman Old Style"/>
          <w:sz w:val="26"/>
          <w:szCs w:val="26"/>
        </w:rPr>
        <w:t xml:space="preserve"> Amendment rights for the same reason that the search and seizure condition does.</w:t>
      </w:r>
    </w:p>
    <w:p w:rsidR="00BB453A" w:rsidRPr="00BB453A" w:rsidRDefault="00BB453A" w:rsidP="00BC681C">
      <w:pPr>
        <w:pStyle w:val="NormalWeb"/>
        <w:spacing w:line="360" w:lineRule="auto"/>
        <w:ind w:firstLine="720"/>
        <w:rPr>
          <w:rFonts w:ascii="Bookman Old Style" w:hAnsi="Bookman Old Style"/>
          <w:sz w:val="26"/>
          <w:szCs w:val="26"/>
        </w:rPr>
      </w:pPr>
      <w:r>
        <w:rPr>
          <w:rFonts w:ascii="Bookman Old Style" w:hAnsi="Bookman Old Style"/>
          <w:sz w:val="26"/>
          <w:szCs w:val="26"/>
        </w:rPr>
        <w:t>Courts have addressed these issues by holding that probation conditions requiring supplying passwords is in violation of the 4</w:t>
      </w:r>
      <w:r w:rsidRPr="00BB453A">
        <w:rPr>
          <w:rFonts w:ascii="Bookman Old Style" w:hAnsi="Bookman Old Style"/>
          <w:sz w:val="26"/>
          <w:szCs w:val="26"/>
          <w:vertAlign w:val="superscript"/>
        </w:rPr>
        <w:t>th</w:t>
      </w:r>
      <w:r>
        <w:rPr>
          <w:rFonts w:ascii="Bookman Old Style" w:hAnsi="Bookman Old Style"/>
          <w:sz w:val="26"/>
          <w:szCs w:val="26"/>
        </w:rPr>
        <w:t xml:space="preserve"> Amendment as being overbroad.</w:t>
      </w:r>
      <w:r>
        <w:rPr>
          <w:rStyle w:val="FootnoteReference"/>
          <w:rFonts w:ascii="Bookman Old Style" w:hAnsi="Bookman Old Style"/>
          <w:sz w:val="26"/>
          <w:szCs w:val="26"/>
        </w:rPr>
        <w:footnoteReference w:id="41"/>
      </w:r>
      <w:r>
        <w:rPr>
          <w:rFonts w:ascii="Bookman Old Style" w:hAnsi="Bookman Old Style"/>
          <w:sz w:val="26"/>
          <w:szCs w:val="26"/>
        </w:rPr>
        <w:t xml:space="preserve"> The basic argument is that since devices tend to hold so much information about a person from so many different sources, the act of providing a password is in effect a statement of incredible breadth and depth across a wide variety of issues. The </w:t>
      </w:r>
      <w:r>
        <w:rPr>
          <w:rFonts w:ascii="Bookman Old Style" w:hAnsi="Bookman Old Style"/>
          <w:i/>
          <w:iCs/>
          <w:sz w:val="26"/>
          <w:szCs w:val="26"/>
        </w:rPr>
        <w:t xml:space="preserve">Valdivia </w:t>
      </w:r>
      <w:r>
        <w:rPr>
          <w:rFonts w:ascii="Bookman Old Style" w:hAnsi="Bookman Old Style"/>
          <w:sz w:val="26"/>
          <w:szCs w:val="26"/>
        </w:rPr>
        <w:t>court referre</w:t>
      </w:r>
      <w:r w:rsidR="00B82D18">
        <w:rPr>
          <w:rFonts w:ascii="Bookman Old Style" w:hAnsi="Bookman Old Style"/>
          <w:sz w:val="26"/>
          <w:szCs w:val="26"/>
        </w:rPr>
        <w:t>d the words of Justice Learned H</w:t>
      </w:r>
      <w:r>
        <w:rPr>
          <w:rFonts w:ascii="Bookman Old Style" w:hAnsi="Bookman Old Style"/>
          <w:sz w:val="26"/>
          <w:szCs w:val="26"/>
        </w:rPr>
        <w:t xml:space="preserve">and that there is a difference between searching a man’s pockets and ransacking his house, </w:t>
      </w:r>
      <w:r>
        <w:rPr>
          <w:rFonts w:ascii="Bookman Old Style" w:hAnsi="Bookman Old Style"/>
          <w:sz w:val="26"/>
          <w:szCs w:val="26"/>
        </w:rPr>
        <w:lastRenderedPageBreak/>
        <w:t>and then pointed out that in the age of smartphones, the contents of a pocket can be much broader than the contents of a house.</w:t>
      </w:r>
      <w:r>
        <w:rPr>
          <w:rStyle w:val="FootnoteReference"/>
          <w:rFonts w:ascii="Bookman Old Style" w:hAnsi="Bookman Old Style"/>
          <w:sz w:val="26"/>
          <w:szCs w:val="26"/>
        </w:rPr>
        <w:footnoteReference w:id="42"/>
      </w:r>
    </w:p>
    <w:p w:rsidR="0065315B" w:rsidRDefault="0065315B" w:rsidP="00B82D18">
      <w:pPr>
        <w:pStyle w:val="NormalWeb"/>
        <w:numPr>
          <w:ilvl w:val="0"/>
          <w:numId w:val="15"/>
        </w:numPr>
        <w:spacing w:line="360" w:lineRule="auto"/>
        <w:rPr>
          <w:rFonts w:ascii="Bookman Old Style" w:hAnsi="Bookman Old Style"/>
          <w:sz w:val="26"/>
          <w:szCs w:val="26"/>
        </w:rPr>
      </w:pPr>
      <w:r>
        <w:rPr>
          <w:rFonts w:ascii="Bookman Old Style" w:hAnsi="Bookman Old Style"/>
          <w:sz w:val="26"/>
          <w:szCs w:val="26"/>
          <w:u w:val="single"/>
        </w:rPr>
        <w:t>The password condition is unworkable.</w:t>
      </w:r>
    </w:p>
    <w:p w:rsidR="0065315B" w:rsidRDefault="0065315B" w:rsidP="0065315B">
      <w:pPr>
        <w:pStyle w:val="NormalWeb"/>
        <w:spacing w:line="360" w:lineRule="auto"/>
        <w:rPr>
          <w:rFonts w:ascii="Bookman Old Style" w:hAnsi="Bookman Old Style"/>
          <w:sz w:val="26"/>
          <w:szCs w:val="26"/>
        </w:rPr>
      </w:pPr>
      <w:r>
        <w:rPr>
          <w:rFonts w:ascii="Bookman Old Style" w:hAnsi="Bookman Old Style"/>
          <w:sz w:val="26"/>
          <w:szCs w:val="26"/>
        </w:rPr>
        <w:tab/>
        <w:t>Part of the reason that the privilege against self-incrimination is so deeply enshrined in the American system is that it is so naturally enforced. If a person simply chooses not to speak, there is little that can be humanely done to force them to.</w:t>
      </w:r>
      <w:r w:rsidR="00E902F6">
        <w:rPr>
          <w:rFonts w:ascii="Bookman Old Style" w:hAnsi="Bookman Old Style"/>
          <w:sz w:val="26"/>
          <w:szCs w:val="26"/>
        </w:rPr>
        <w:t xml:space="preserve"> Similarly, if a person’s should claim a failure of memory, how would anyone prove whether it were genuine? </w:t>
      </w:r>
      <w:r w:rsidR="00B82D18">
        <w:rPr>
          <w:rFonts w:ascii="Bookman Old Style" w:hAnsi="Bookman Old Style"/>
          <w:sz w:val="26"/>
          <w:szCs w:val="26"/>
        </w:rPr>
        <w:t xml:space="preserve"> </w:t>
      </w:r>
    </w:p>
    <w:p w:rsidR="0065315B" w:rsidRDefault="00E902F6" w:rsidP="0065315B">
      <w:pPr>
        <w:pStyle w:val="NormalWeb"/>
        <w:spacing w:line="360" w:lineRule="auto"/>
        <w:rPr>
          <w:rFonts w:ascii="Bookman Old Style" w:hAnsi="Bookman Old Style"/>
          <w:sz w:val="26"/>
          <w:szCs w:val="26"/>
        </w:rPr>
      </w:pPr>
      <w:r>
        <w:rPr>
          <w:rFonts w:ascii="Bookman Old Style" w:hAnsi="Bookman Old Style"/>
          <w:sz w:val="26"/>
          <w:szCs w:val="26"/>
        </w:rPr>
        <w:tab/>
        <w:t>This court’s password condition in the order to be modified is not only illegal</w:t>
      </w:r>
      <w:r w:rsidR="00B738F2">
        <w:rPr>
          <w:rFonts w:ascii="Bookman Old Style" w:hAnsi="Bookman Old Style"/>
          <w:sz w:val="26"/>
          <w:szCs w:val="26"/>
        </w:rPr>
        <w:t>; i</w:t>
      </w:r>
      <w:r>
        <w:rPr>
          <w:rFonts w:ascii="Bookman Old Style" w:hAnsi="Bookman Old Style"/>
          <w:sz w:val="26"/>
          <w:szCs w:val="26"/>
        </w:rPr>
        <w:t xml:space="preserve">t is entirely unworkable. Who, in modern society has never forgotten a password? If </w:t>
      </w:r>
      <w:r w:rsidR="00B82D18">
        <w:rPr>
          <w:rFonts w:ascii="Bookman Old Style" w:hAnsi="Bookman Old Style"/>
          <w:sz w:val="26"/>
          <w:szCs w:val="26"/>
        </w:rPr>
        <w:t>Mr. Ervin</w:t>
      </w:r>
      <w:r>
        <w:rPr>
          <w:rFonts w:ascii="Bookman Old Style" w:hAnsi="Bookman Old Style"/>
          <w:sz w:val="26"/>
          <w:szCs w:val="26"/>
        </w:rPr>
        <w:t xml:space="preserve"> should claim that he does not remember a password, or that he never had one because the device law enforcement presents him with was not his, how will the court know whether he is telling the truth? If law enforcement wants </w:t>
      </w:r>
      <w:r w:rsidR="00B82D18">
        <w:rPr>
          <w:rFonts w:ascii="Bookman Old Style" w:hAnsi="Bookman Old Style"/>
          <w:sz w:val="26"/>
          <w:szCs w:val="26"/>
        </w:rPr>
        <w:t>Mr. Ervin</w:t>
      </w:r>
      <w:r>
        <w:rPr>
          <w:rFonts w:ascii="Bookman Old Style" w:hAnsi="Bookman Old Style"/>
          <w:sz w:val="26"/>
          <w:szCs w:val="26"/>
        </w:rPr>
        <w:t xml:space="preserve"> to go back to jail, all they have to do is present </w:t>
      </w:r>
      <w:r w:rsidR="00B82D18">
        <w:rPr>
          <w:rFonts w:ascii="Bookman Old Style" w:hAnsi="Bookman Old Style"/>
          <w:sz w:val="26"/>
          <w:szCs w:val="26"/>
        </w:rPr>
        <w:t>Mr. Ervin</w:t>
      </w:r>
      <w:r>
        <w:rPr>
          <w:rFonts w:ascii="Bookman Old Style" w:hAnsi="Bookman Old Style"/>
          <w:sz w:val="26"/>
          <w:szCs w:val="26"/>
        </w:rPr>
        <w:t xml:space="preserve"> with a locked device found somewhere near his belongings that he never owned, and then insist that </w:t>
      </w:r>
      <w:r w:rsidR="00B82D18">
        <w:rPr>
          <w:rFonts w:ascii="Bookman Old Style" w:hAnsi="Bookman Old Style"/>
          <w:sz w:val="26"/>
          <w:szCs w:val="26"/>
        </w:rPr>
        <w:t>Mr. Ervin</w:t>
      </w:r>
      <w:r>
        <w:rPr>
          <w:rFonts w:ascii="Bookman Old Style" w:hAnsi="Bookman Old Style"/>
          <w:sz w:val="26"/>
          <w:szCs w:val="26"/>
        </w:rPr>
        <w:t xml:space="preserve"> is lying when he says he does not have the password. The court would never know the difference. Alternately, if </w:t>
      </w:r>
      <w:r w:rsidR="00B82D18">
        <w:rPr>
          <w:rFonts w:ascii="Bookman Old Style" w:hAnsi="Bookman Old Style"/>
          <w:sz w:val="26"/>
          <w:szCs w:val="26"/>
        </w:rPr>
        <w:t>Mr. Ervin</w:t>
      </w:r>
      <w:r>
        <w:rPr>
          <w:rFonts w:ascii="Bookman Old Style" w:hAnsi="Bookman Old Style"/>
          <w:sz w:val="26"/>
          <w:szCs w:val="26"/>
        </w:rPr>
        <w:t xml:space="preserve"> were to simply claim that he had forgotten all of his passwords at the same time, </w:t>
      </w:r>
      <w:r w:rsidR="00B738F2">
        <w:rPr>
          <w:rFonts w:ascii="Bookman Old Style" w:hAnsi="Bookman Old Style"/>
          <w:sz w:val="26"/>
          <w:szCs w:val="26"/>
        </w:rPr>
        <w:t>the court could never</w:t>
      </w:r>
      <w:r>
        <w:rPr>
          <w:rFonts w:ascii="Bookman Old Style" w:hAnsi="Bookman Old Style"/>
          <w:sz w:val="26"/>
          <w:szCs w:val="26"/>
        </w:rPr>
        <w:t xml:space="preserve"> figure out which he had genuinely forgotten and which he had not so as to determine with particularity how he had violated the court’s order</w:t>
      </w:r>
      <w:r w:rsidR="00B738F2">
        <w:rPr>
          <w:rFonts w:ascii="Bookman Old Style" w:hAnsi="Bookman Old Style"/>
          <w:sz w:val="26"/>
          <w:szCs w:val="26"/>
        </w:rPr>
        <w:t>.</w:t>
      </w:r>
      <w:r>
        <w:rPr>
          <w:rFonts w:ascii="Bookman Old Style" w:hAnsi="Bookman Old Style"/>
          <w:sz w:val="26"/>
          <w:szCs w:val="26"/>
        </w:rPr>
        <w:t xml:space="preserve"> </w:t>
      </w:r>
      <w:r w:rsidR="00B738F2">
        <w:rPr>
          <w:rFonts w:ascii="Bookman Old Style" w:hAnsi="Bookman Old Style"/>
          <w:sz w:val="26"/>
          <w:szCs w:val="26"/>
        </w:rPr>
        <w:t>Thus, t</w:t>
      </w:r>
      <w:r>
        <w:rPr>
          <w:rFonts w:ascii="Bookman Old Style" w:hAnsi="Bookman Old Style"/>
          <w:sz w:val="26"/>
          <w:szCs w:val="26"/>
        </w:rPr>
        <w:t xml:space="preserve">his condition is not merely </w:t>
      </w:r>
      <w:r>
        <w:rPr>
          <w:rFonts w:ascii="Bookman Old Style" w:hAnsi="Bookman Old Style"/>
          <w:sz w:val="26"/>
          <w:szCs w:val="26"/>
        </w:rPr>
        <w:lastRenderedPageBreak/>
        <w:t xml:space="preserve">unconstitutional </w:t>
      </w:r>
      <w:r w:rsidR="00B738F2">
        <w:rPr>
          <w:rFonts w:ascii="Bookman Old Style" w:hAnsi="Bookman Old Style"/>
          <w:sz w:val="26"/>
          <w:szCs w:val="26"/>
        </w:rPr>
        <w:t>for a wide variety of reasons; i</w:t>
      </w:r>
      <w:r>
        <w:rPr>
          <w:rFonts w:ascii="Bookman Old Style" w:hAnsi="Bookman Old Style"/>
          <w:sz w:val="26"/>
          <w:szCs w:val="26"/>
        </w:rPr>
        <w:t xml:space="preserve">t would be completely unenforceable even if </w:t>
      </w:r>
      <w:r w:rsidR="00B82D18">
        <w:rPr>
          <w:rFonts w:ascii="Bookman Old Style" w:hAnsi="Bookman Old Style"/>
          <w:sz w:val="26"/>
          <w:szCs w:val="26"/>
        </w:rPr>
        <w:t>Mr. Ervin</w:t>
      </w:r>
      <w:r>
        <w:rPr>
          <w:rFonts w:ascii="Bookman Old Style" w:hAnsi="Bookman Old Style"/>
          <w:sz w:val="26"/>
          <w:szCs w:val="26"/>
        </w:rPr>
        <w:t xml:space="preserve"> had no constitutional rights.</w:t>
      </w:r>
    </w:p>
    <w:p w:rsidR="0065315B" w:rsidRDefault="0065315B" w:rsidP="0065315B">
      <w:pPr>
        <w:pStyle w:val="NormalWeb"/>
        <w:spacing w:line="360" w:lineRule="auto"/>
        <w:jc w:val="center"/>
        <w:rPr>
          <w:rFonts w:ascii="Bookman Old Style" w:hAnsi="Bookman Old Style"/>
          <w:sz w:val="26"/>
          <w:szCs w:val="26"/>
        </w:rPr>
      </w:pPr>
      <w:r>
        <w:rPr>
          <w:rFonts w:ascii="Bookman Old Style" w:hAnsi="Bookman Old Style"/>
          <w:b/>
          <w:bCs/>
          <w:sz w:val="26"/>
          <w:szCs w:val="26"/>
        </w:rPr>
        <w:t>Conclusion</w:t>
      </w:r>
    </w:p>
    <w:p w:rsidR="0065315B" w:rsidRPr="0065315B" w:rsidRDefault="0065315B" w:rsidP="0065315B">
      <w:pPr>
        <w:pStyle w:val="NormalWeb"/>
        <w:spacing w:line="360" w:lineRule="auto"/>
        <w:rPr>
          <w:rFonts w:ascii="Bookman Old Style" w:hAnsi="Bookman Old Style"/>
          <w:sz w:val="26"/>
          <w:szCs w:val="26"/>
        </w:rPr>
      </w:pPr>
      <w:r>
        <w:rPr>
          <w:rFonts w:ascii="Bookman Old Style" w:hAnsi="Bookman Old Style"/>
          <w:sz w:val="26"/>
          <w:szCs w:val="26"/>
        </w:rPr>
        <w:tab/>
        <w:t xml:space="preserve">The search and seizure condition under the court’s bail condition plainly violate </w:t>
      </w:r>
      <w:r w:rsidR="00B82D18">
        <w:rPr>
          <w:rFonts w:ascii="Bookman Old Style" w:hAnsi="Bookman Old Style"/>
          <w:sz w:val="26"/>
          <w:szCs w:val="26"/>
        </w:rPr>
        <w:t>Mr. Ervin</w:t>
      </w:r>
      <w:r>
        <w:rPr>
          <w:rFonts w:ascii="Bookman Old Style" w:hAnsi="Bookman Old Style"/>
          <w:sz w:val="26"/>
          <w:szCs w:val="26"/>
        </w:rPr>
        <w:t>’s 4</w:t>
      </w:r>
      <w:r w:rsidRPr="0065315B">
        <w:rPr>
          <w:rFonts w:ascii="Bookman Old Style" w:hAnsi="Bookman Old Style"/>
          <w:sz w:val="26"/>
          <w:szCs w:val="26"/>
          <w:vertAlign w:val="superscript"/>
        </w:rPr>
        <w:t>th</w:t>
      </w:r>
      <w:r>
        <w:rPr>
          <w:rFonts w:ascii="Bookman Old Style" w:hAnsi="Bookman Old Style"/>
          <w:sz w:val="26"/>
          <w:szCs w:val="26"/>
        </w:rPr>
        <w:t xml:space="preserve"> </w:t>
      </w:r>
      <w:r w:rsidR="00AA7E50">
        <w:rPr>
          <w:rFonts w:ascii="Bookman Old Style" w:hAnsi="Bookman Old Style"/>
          <w:sz w:val="26"/>
          <w:szCs w:val="26"/>
        </w:rPr>
        <w:t>and 8</w:t>
      </w:r>
      <w:r w:rsidR="00AA7E50" w:rsidRPr="00AA7E50">
        <w:rPr>
          <w:rFonts w:ascii="Bookman Old Style" w:hAnsi="Bookman Old Style"/>
          <w:sz w:val="26"/>
          <w:szCs w:val="26"/>
          <w:vertAlign w:val="superscript"/>
        </w:rPr>
        <w:t>th</w:t>
      </w:r>
      <w:r w:rsidR="00AA7E50">
        <w:rPr>
          <w:rFonts w:ascii="Bookman Old Style" w:hAnsi="Bookman Old Style"/>
          <w:sz w:val="26"/>
          <w:szCs w:val="26"/>
        </w:rPr>
        <w:t xml:space="preserve"> </w:t>
      </w:r>
      <w:r>
        <w:rPr>
          <w:rFonts w:ascii="Bookman Old Style" w:hAnsi="Bookman Old Style"/>
          <w:sz w:val="26"/>
          <w:szCs w:val="26"/>
        </w:rPr>
        <w:t xml:space="preserve">Amendment rights. The encryption condition plainly violates </w:t>
      </w:r>
      <w:r w:rsidR="00B82D18">
        <w:rPr>
          <w:rFonts w:ascii="Bookman Old Style" w:hAnsi="Bookman Old Style"/>
          <w:sz w:val="26"/>
          <w:szCs w:val="26"/>
        </w:rPr>
        <w:t>Mr. Ervin</w:t>
      </w:r>
      <w:r>
        <w:rPr>
          <w:rFonts w:ascii="Bookman Old Style" w:hAnsi="Bookman Old Style"/>
          <w:sz w:val="26"/>
          <w:szCs w:val="26"/>
        </w:rPr>
        <w:t>’s 1</w:t>
      </w:r>
      <w:r w:rsidRPr="0065315B">
        <w:rPr>
          <w:rFonts w:ascii="Bookman Old Style" w:hAnsi="Bookman Old Style"/>
          <w:sz w:val="26"/>
          <w:szCs w:val="26"/>
          <w:vertAlign w:val="superscript"/>
        </w:rPr>
        <w:t>st</w:t>
      </w:r>
      <w:r>
        <w:rPr>
          <w:rFonts w:ascii="Bookman Old Style" w:hAnsi="Bookman Old Style"/>
          <w:sz w:val="26"/>
          <w:szCs w:val="26"/>
        </w:rPr>
        <w:t xml:space="preserve"> and 4</w:t>
      </w:r>
      <w:r w:rsidRPr="0065315B">
        <w:rPr>
          <w:rFonts w:ascii="Bookman Old Style" w:hAnsi="Bookman Old Style"/>
          <w:sz w:val="26"/>
          <w:szCs w:val="26"/>
          <w:vertAlign w:val="superscript"/>
        </w:rPr>
        <w:t>th</w:t>
      </w:r>
      <w:r>
        <w:rPr>
          <w:rFonts w:ascii="Bookman Old Style" w:hAnsi="Bookman Old Style"/>
          <w:sz w:val="26"/>
          <w:szCs w:val="26"/>
        </w:rPr>
        <w:t xml:space="preserve"> Amendment rights. The password condition plainly violates </w:t>
      </w:r>
      <w:r w:rsidR="00B82D18">
        <w:rPr>
          <w:rFonts w:ascii="Bookman Old Style" w:hAnsi="Bookman Old Style"/>
          <w:sz w:val="26"/>
          <w:szCs w:val="26"/>
        </w:rPr>
        <w:t>Mr. Ervin</w:t>
      </w:r>
      <w:r>
        <w:rPr>
          <w:rFonts w:ascii="Bookman Old Style" w:hAnsi="Bookman Old Style"/>
          <w:sz w:val="26"/>
          <w:szCs w:val="26"/>
        </w:rPr>
        <w:t xml:space="preserve">’s </w:t>
      </w:r>
      <w:r w:rsidR="00AA7E50">
        <w:rPr>
          <w:rFonts w:ascii="Bookman Old Style" w:hAnsi="Bookman Old Style"/>
          <w:sz w:val="26"/>
          <w:szCs w:val="26"/>
        </w:rPr>
        <w:t>1</w:t>
      </w:r>
      <w:r w:rsidR="00AA7E50" w:rsidRPr="00AA7E50">
        <w:rPr>
          <w:rFonts w:ascii="Bookman Old Style" w:hAnsi="Bookman Old Style"/>
          <w:sz w:val="26"/>
          <w:szCs w:val="26"/>
          <w:vertAlign w:val="superscript"/>
        </w:rPr>
        <w:t>st</w:t>
      </w:r>
      <w:r w:rsidR="00AA7E50">
        <w:rPr>
          <w:rFonts w:ascii="Bookman Old Style" w:hAnsi="Bookman Old Style"/>
          <w:sz w:val="26"/>
          <w:szCs w:val="26"/>
        </w:rPr>
        <w:t xml:space="preserve">, </w:t>
      </w:r>
      <w:r>
        <w:rPr>
          <w:rFonts w:ascii="Bookman Old Style" w:hAnsi="Bookman Old Style"/>
          <w:sz w:val="26"/>
          <w:szCs w:val="26"/>
        </w:rPr>
        <w:t>4</w:t>
      </w:r>
      <w:r w:rsidRPr="0065315B">
        <w:rPr>
          <w:rFonts w:ascii="Bookman Old Style" w:hAnsi="Bookman Old Style"/>
          <w:sz w:val="26"/>
          <w:szCs w:val="26"/>
          <w:vertAlign w:val="superscript"/>
        </w:rPr>
        <w:t>th</w:t>
      </w:r>
      <w:r>
        <w:rPr>
          <w:rFonts w:ascii="Bookman Old Style" w:hAnsi="Bookman Old Style"/>
          <w:sz w:val="26"/>
          <w:szCs w:val="26"/>
        </w:rPr>
        <w:t>, 5</w:t>
      </w:r>
      <w:r w:rsidRPr="0065315B">
        <w:rPr>
          <w:rFonts w:ascii="Bookman Old Style" w:hAnsi="Bookman Old Style"/>
          <w:sz w:val="26"/>
          <w:szCs w:val="26"/>
          <w:vertAlign w:val="superscript"/>
        </w:rPr>
        <w:t>th</w:t>
      </w:r>
      <w:r>
        <w:rPr>
          <w:rFonts w:ascii="Bookman Old Style" w:hAnsi="Bookman Old Style"/>
          <w:sz w:val="26"/>
          <w:szCs w:val="26"/>
        </w:rPr>
        <w:t xml:space="preserve"> and 6</w:t>
      </w:r>
      <w:r w:rsidRPr="0065315B">
        <w:rPr>
          <w:rFonts w:ascii="Bookman Old Style" w:hAnsi="Bookman Old Style"/>
          <w:sz w:val="26"/>
          <w:szCs w:val="26"/>
          <w:vertAlign w:val="superscript"/>
        </w:rPr>
        <w:t>th</w:t>
      </w:r>
      <w:r>
        <w:rPr>
          <w:rFonts w:ascii="Bookman Old Style" w:hAnsi="Bookman Old Style"/>
          <w:sz w:val="26"/>
          <w:szCs w:val="26"/>
        </w:rPr>
        <w:t xml:space="preserve"> Amendment rights, and all three violate his right to privacy under the 14</w:t>
      </w:r>
      <w:r w:rsidRPr="0065315B">
        <w:rPr>
          <w:rFonts w:ascii="Bookman Old Style" w:hAnsi="Bookman Old Style"/>
          <w:sz w:val="26"/>
          <w:szCs w:val="26"/>
          <w:vertAlign w:val="superscript"/>
        </w:rPr>
        <w:t>th</w:t>
      </w:r>
      <w:r>
        <w:rPr>
          <w:rFonts w:ascii="Bookman Old Style" w:hAnsi="Bookman Old Style"/>
          <w:sz w:val="26"/>
          <w:szCs w:val="26"/>
        </w:rPr>
        <w:t xml:space="preserve"> Amendment. Thes</w:t>
      </w:r>
      <w:r w:rsidR="00AA7E50">
        <w:rPr>
          <w:rFonts w:ascii="Bookman Old Style" w:hAnsi="Bookman Old Style"/>
          <w:sz w:val="26"/>
          <w:szCs w:val="26"/>
        </w:rPr>
        <w:t xml:space="preserve">e blanket conditions, </w:t>
      </w:r>
      <w:r>
        <w:rPr>
          <w:rFonts w:ascii="Bookman Old Style" w:hAnsi="Bookman Old Style"/>
          <w:sz w:val="26"/>
          <w:szCs w:val="26"/>
        </w:rPr>
        <w:t xml:space="preserve">unsupported by sworn testimony </w:t>
      </w:r>
      <w:r w:rsidR="00AA7E50">
        <w:rPr>
          <w:rFonts w:ascii="Bookman Old Style" w:hAnsi="Bookman Old Style"/>
          <w:sz w:val="26"/>
          <w:szCs w:val="26"/>
        </w:rPr>
        <w:t xml:space="preserve">or evidence </w:t>
      </w:r>
      <w:r>
        <w:rPr>
          <w:rFonts w:ascii="Bookman Old Style" w:hAnsi="Bookman Old Style"/>
          <w:sz w:val="26"/>
          <w:szCs w:val="26"/>
        </w:rPr>
        <w:t>are directly opposed to the traditions and values of American law. This court should strike these conditions immediately.</w:t>
      </w:r>
    </w:p>
    <w:p w:rsidR="003E500B" w:rsidRPr="003E500B" w:rsidRDefault="003E500B" w:rsidP="003E500B">
      <w:pPr>
        <w:spacing w:line="240" w:lineRule="auto"/>
        <w:ind w:left="720" w:firstLine="720"/>
        <w:rPr>
          <w:rFonts w:ascii="Bookman Old Style" w:hAnsi="Bookman Old Style"/>
          <w:sz w:val="22"/>
          <w:szCs w:val="22"/>
        </w:rPr>
      </w:pPr>
    </w:p>
    <w:p w:rsidR="000578F4" w:rsidRDefault="000578F4" w:rsidP="000578F4">
      <w:pPr>
        <w:spacing w:line="240" w:lineRule="auto"/>
        <w:rPr>
          <w:rFonts w:ascii="Bookman Old Style" w:hAnsi="Bookman Old Style"/>
          <w:b/>
          <w:bCs/>
          <w:sz w:val="22"/>
          <w:szCs w:val="22"/>
        </w:rPr>
      </w:pPr>
    </w:p>
    <w:p w:rsidR="000578F4" w:rsidRPr="000578F4" w:rsidRDefault="000578F4" w:rsidP="000578F4">
      <w:pPr>
        <w:spacing w:line="240" w:lineRule="auto"/>
        <w:rPr>
          <w:rFonts w:ascii="Bookman Old Style" w:hAnsi="Bookman Old Style"/>
          <w:sz w:val="22"/>
          <w:szCs w:val="22"/>
        </w:rPr>
      </w:pPr>
    </w:p>
    <w:p w:rsidR="009F0E74" w:rsidRPr="00DC0715" w:rsidRDefault="00AA7E50" w:rsidP="00AA7E50">
      <w:pPr>
        <w:pStyle w:val="Date"/>
        <w:ind w:firstLine="0"/>
        <w:rPr>
          <w:rFonts w:ascii="Bookman Old Style" w:hAnsi="Bookman Old Style"/>
          <w:sz w:val="22"/>
          <w:szCs w:val="22"/>
        </w:rPr>
      </w:pPr>
      <w:r>
        <w:rPr>
          <w:rFonts w:ascii="Bookman Old Style" w:hAnsi="Bookman Old Style"/>
          <w:sz w:val="22"/>
          <w:szCs w:val="22"/>
        </w:rPr>
        <w:t>DATED:  October 29, 2020</w:t>
      </w:r>
      <w:r>
        <w:rPr>
          <w:rFonts w:ascii="Bookman Old Style" w:hAnsi="Bookman Old Style"/>
          <w:sz w:val="22"/>
          <w:szCs w:val="22"/>
        </w:rPr>
        <w:tab/>
      </w:r>
      <w:r>
        <w:rPr>
          <w:rFonts w:ascii="Bookman Old Style" w:hAnsi="Bookman Old Style"/>
          <w:sz w:val="22"/>
          <w:szCs w:val="22"/>
        </w:rPr>
        <w:tab/>
        <w:t>By:</w:t>
      </w:r>
    </w:p>
    <w:tbl>
      <w:tblPr>
        <w:tblStyle w:val="TableGrid"/>
        <w:tblW w:w="2475" w:type="pct"/>
        <w:tblInd w:w="4637" w:type="dxa"/>
        <w:tblBorders>
          <w:left w:val="none" w:sz="0" w:space="0" w:color="auto"/>
          <w:bottom w:val="none" w:sz="0" w:space="0" w:color="auto"/>
          <w:right w:val="none" w:sz="0" w:space="0" w:color="auto"/>
        </w:tblBorders>
        <w:tblLook w:val="0620" w:firstRow="1" w:lastRow="0" w:firstColumn="0" w:lastColumn="0" w:noHBand="1" w:noVBand="1"/>
        <w:tblDescription w:val="Layout table for signature"/>
      </w:tblPr>
      <w:tblGrid>
        <w:gridCol w:w="4633"/>
      </w:tblGrid>
      <w:tr w:rsidR="00396944" w:rsidRPr="00DC0715" w:rsidTr="00895FB1">
        <w:tc>
          <w:tcPr>
            <w:tcW w:w="9350" w:type="dxa"/>
          </w:tcPr>
          <w:p w:rsidR="00396944" w:rsidRDefault="008707FF" w:rsidP="006E2BD1">
            <w:pPr>
              <w:pStyle w:val="AttorneyName"/>
              <w:rPr>
                <w:rFonts w:ascii="Bookman Old Style" w:hAnsi="Bookman Old Style"/>
                <w:sz w:val="22"/>
                <w:szCs w:val="22"/>
              </w:rPr>
            </w:pPr>
            <w:r>
              <w:rPr>
                <w:rFonts w:ascii="Bookman Old Style" w:hAnsi="Bookman Old Style"/>
                <w:sz w:val="22"/>
                <w:szCs w:val="22"/>
              </w:rPr>
              <w:t xml:space="preserve">Crystal </w:t>
            </w:r>
            <w:r w:rsidR="00AA7E50">
              <w:rPr>
                <w:rFonts w:ascii="Bookman Old Style" w:hAnsi="Bookman Old Style"/>
                <w:sz w:val="22"/>
                <w:szCs w:val="22"/>
              </w:rPr>
              <w:t xml:space="preserve">R. </w:t>
            </w:r>
            <w:r>
              <w:rPr>
                <w:rFonts w:ascii="Bookman Old Style" w:hAnsi="Bookman Old Style"/>
                <w:sz w:val="22"/>
                <w:szCs w:val="22"/>
              </w:rPr>
              <w:t>Lamb</w:t>
            </w:r>
          </w:p>
          <w:p w:rsidR="00AA7E50" w:rsidRDefault="00AA7E50" w:rsidP="006E2BD1">
            <w:pPr>
              <w:pStyle w:val="AttorneyName"/>
              <w:rPr>
                <w:rFonts w:ascii="Bookman Old Style" w:hAnsi="Bookman Old Style"/>
                <w:sz w:val="22"/>
                <w:szCs w:val="22"/>
              </w:rPr>
            </w:pPr>
            <w:r>
              <w:rPr>
                <w:rFonts w:ascii="Bookman Old Style" w:hAnsi="Bookman Old Style"/>
                <w:sz w:val="22"/>
                <w:szCs w:val="22"/>
              </w:rPr>
              <w:t>Deputy Public Defender</w:t>
            </w:r>
          </w:p>
          <w:p w:rsidR="00AA7E50" w:rsidRPr="00DC0715" w:rsidRDefault="00AA7E50" w:rsidP="006E2BD1">
            <w:pPr>
              <w:pStyle w:val="AttorneyName"/>
              <w:rPr>
                <w:rFonts w:ascii="Bookman Old Style" w:hAnsi="Bookman Old Style"/>
                <w:sz w:val="22"/>
                <w:szCs w:val="22"/>
              </w:rPr>
            </w:pPr>
            <w:r>
              <w:rPr>
                <w:rFonts w:ascii="Bookman Old Style" w:hAnsi="Bookman Old Style"/>
                <w:sz w:val="22"/>
                <w:szCs w:val="22"/>
              </w:rPr>
              <w:t>Attorney for Delbert Ervin</w:t>
            </w:r>
          </w:p>
        </w:tc>
      </w:tr>
    </w:tbl>
    <w:p w:rsidR="002541E3" w:rsidRDefault="002541E3" w:rsidP="00396944"/>
    <w:p w:rsidR="002541E3" w:rsidRDefault="002541E3">
      <w:r>
        <w:br w:type="page"/>
      </w:r>
    </w:p>
    <w:p w:rsidR="00396944" w:rsidRPr="002541E3" w:rsidRDefault="002541E3" w:rsidP="002541E3">
      <w:pPr>
        <w:jc w:val="center"/>
        <w:rPr>
          <w:sz w:val="48"/>
          <w:szCs w:val="48"/>
        </w:rPr>
      </w:pPr>
      <w:r>
        <w:rPr>
          <w:sz w:val="48"/>
          <w:szCs w:val="48"/>
        </w:rPr>
        <w:lastRenderedPageBreak/>
        <w:t>EXHIBIT A</w:t>
      </w:r>
    </w:p>
    <w:sectPr w:rsidR="00396944" w:rsidRPr="002541E3">
      <w:headerReference w:type="default" r:id="rId8"/>
      <w:footerReference w:type="default" r:id="rId9"/>
      <w:pgSz w:w="12240" w:h="15840" w:code="1"/>
      <w:pgMar w:top="1440" w:right="1440" w:bottom="1440" w:left="1440" w:header="72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7E7" w:rsidRDefault="002217E7">
      <w:r>
        <w:separator/>
      </w:r>
    </w:p>
    <w:p w:rsidR="002217E7" w:rsidRDefault="002217E7"/>
  </w:endnote>
  <w:endnote w:type="continuationSeparator" w:id="0">
    <w:p w:rsidR="002217E7" w:rsidRDefault="002217E7">
      <w:r>
        <w:continuationSeparator/>
      </w:r>
    </w:p>
    <w:p w:rsidR="002217E7" w:rsidRDefault="002217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E5" w:rsidRDefault="002217E7">
    <w:pPr>
      <w:pStyle w:val="Footer"/>
    </w:pPr>
    <w:sdt>
      <w:sdtPr>
        <w:alias w:val="Enter pleading title:"/>
        <w:tag w:val=""/>
        <w:id w:val="654189559"/>
        <w:placeholder>
          <w:docPart w:val="E8FC4AF3CAA74BE2AA3ACD2EEB7F1E32"/>
        </w:placeholder>
        <w:dataBinding w:prefixMappings="xmlns:ns0='http://purl.org/dc/elements/1.1/' xmlns:ns1='http://schemas.openxmlformats.org/package/2006/metadata/core-properties' " w:xpath="/ns1:coreProperties[1]/ns0:title[1]" w:storeItemID="{6C3C8BC8-F283-45AE-878A-BAB7291924A1}"/>
        <w15:appearance w15:val="hidden"/>
        <w:text/>
      </w:sdtPr>
      <w:sdtEndPr/>
      <w:sdtContent>
        <w:r w:rsidR="00BB2212">
          <w:t>Motion to modify release conditions</w:t>
        </w:r>
      </w:sdtContent>
    </w:sdt>
    <w:r w:rsidR="007564E5">
      <w:t xml:space="preserve"> - </w:t>
    </w:r>
    <w:r w:rsidR="007564E5">
      <w:fldChar w:fldCharType="begin"/>
    </w:r>
    <w:r w:rsidR="007564E5">
      <w:instrText xml:space="preserve"> PAGE   \* MERGEFORMAT </w:instrText>
    </w:r>
    <w:r w:rsidR="007564E5">
      <w:fldChar w:fldCharType="separate"/>
    </w:r>
    <w:r w:rsidR="004F2C20">
      <w:rPr>
        <w:noProof/>
      </w:rPr>
      <w:t>2</w:t>
    </w:r>
    <w:r w:rsidR="007564E5">
      <w:fldChar w:fldCharType="end"/>
    </w:r>
  </w:p>
  <w:p w:rsidR="007564E5" w:rsidRPr="000578F4" w:rsidRDefault="007564E5">
    <w:pPr>
      <w:pStyle w:val="Footer"/>
      <w:rPr>
        <w:i/>
        <w:iCs/>
      </w:rPr>
    </w:pPr>
    <w:r>
      <w:rPr>
        <w:i/>
        <w:iCs/>
      </w:rPr>
      <w:t>People v. delbert j. ervin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7E7" w:rsidRDefault="002217E7">
      <w:r>
        <w:separator/>
      </w:r>
    </w:p>
    <w:p w:rsidR="002217E7" w:rsidRDefault="002217E7"/>
  </w:footnote>
  <w:footnote w:type="continuationSeparator" w:id="0">
    <w:p w:rsidR="002217E7" w:rsidRDefault="002217E7">
      <w:r>
        <w:continuationSeparator/>
      </w:r>
    </w:p>
    <w:p w:rsidR="002217E7" w:rsidRDefault="002217E7"/>
  </w:footnote>
  <w:footnote w:id="1">
    <w:p w:rsidR="007564E5" w:rsidRPr="00B77E3C" w:rsidRDefault="007564E5">
      <w:pPr>
        <w:pStyle w:val="FootnoteText"/>
        <w:rPr>
          <w:rFonts w:ascii="Bookman Old Style" w:hAnsi="Bookman Old Style"/>
          <w:sz w:val="22"/>
          <w:szCs w:val="22"/>
        </w:rPr>
      </w:pPr>
      <w:r w:rsidRPr="00B77E3C">
        <w:rPr>
          <w:rStyle w:val="FootnoteReference"/>
          <w:rFonts w:ascii="Bookman Old Style" w:hAnsi="Bookman Old Style"/>
          <w:sz w:val="22"/>
          <w:szCs w:val="22"/>
        </w:rPr>
        <w:footnoteRef/>
      </w:r>
      <w:r w:rsidRPr="00B77E3C">
        <w:rPr>
          <w:rFonts w:ascii="Bookman Old Style" w:hAnsi="Bookman Old Style"/>
          <w:sz w:val="22"/>
          <w:szCs w:val="22"/>
        </w:rPr>
        <w:t xml:space="preserve"> </w:t>
      </w:r>
      <w:r w:rsidR="00BB2212" w:rsidRPr="00B77E3C">
        <w:rPr>
          <w:rFonts w:ascii="Bookman Old Style" w:hAnsi="Bookman Old Style"/>
          <w:i/>
          <w:iCs/>
          <w:sz w:val="22"/>
          <w:szCs w:val="22"/>
        </w:rPr>
        <w:t>Elkins v. U.S.</w:t>
      </w:r>
      <w:r w:rsidR="00BB2212" w:rsidRPr="00B77E3C">
        <w:rPr>
          <w:rFonts w:ascii="Bookman Old Style" w:hAnsi="Bookman Old Style"/>
          <w:sz w:val="22"/>
          <w:szCs w:val="22"/>
        </w:rPr>
        <w:t xml:space="preserve">, 364 U.S. 206, 213 (1960) </w:t>
      </w:r>
      <w:r w:rsidR="00BB2212" w:rsidRPr="00B77E3C">
        <w:rPr>
          <w:rFonts w:ascii="Bookman Old Style" w:hAnsi="Bookman Old Style"/>
          <w:i/>
          <w:iCs/>
          <w:sz w:val="22"/>
          <w:szCs w:val="22"/>
        </w:rPr>
        <w:t>citing</w:t>
      </w:r>
      <w:r w:rsidR="00B4167C" w:rsidRPr="00B77E3C">
        <w:rPr>
          <w:rFonts w:ascii="Bookman Old Style" w:hAnsi="Bookman Old Style"/>
          <w:sz w:val="22"/>
          <w:szCs w:val="22"/>
        </w:rPr>
        <w:t>:</w:t>
      </w:r>
      <w:r w:rsidR="00BB2212" w:rsidRPr="00B77E3C">
        <w:rPr>
          <w:rFonts w:ascii="Bookman Old Style" w:hAnsi="Bookman Old Style"/>
          <w:sz w:val="22"/>
          <w:szCs w:val="22"/>
        </w:rPr>
        <w:t xml:space="preserve"> </w:t>
      </w:r>
      <w:r w:rsidR="00BB2212" w:rsidRPr="00B77E3C">
        <w:rPr>
          <w:rFonts w:ascii="Bookman Old Style" w:hAnsi="Bookman Old Style"/>
          <w:i/>
          <w:iCs/>
          <w:sz w:val="22"/>
          <w:szCs w:val="22"/>
        </w:rPr>
        <w:t>Wolf v. Colorado</w:t>
      </w:r>
      <w:r w:rsidR="00BB2212" w:rsidRPr="00B77E3C">
        <w:rPr>
          <w:rFonts w:ascii="Bookman Old Style" w:hAnsi="Bookman Old Style"/>
          <w:sz w:val="22"/>
          <w:szCs w:val="22"/>
        </w:rPr>
        <w:t>, 338 U.S. 25, 27-28 (1949)</w:t>
      </w:r>
      <w:r w:rsidR="00B4167C" w:rsidRPr="00B77E3C">
        <w:rPr>
          <w:rFonts w:ascii="Bookman Old Style" w:hAnsi="Bookman Old Style"/>
          <w:sz w:val="22"/>
          <w:szCs w:val="22"/>
        </w:rPr>
        <w:t xml:space="preserve">; </w:t>
      </w:r>
      <w:r w:rsidR="00B4167C" w:rsidRPr="00B77E3C">
        <w:rPr>
          <w:rFonts w:ascii="Bookman Old Style" w:hAnsi="Bookman Old Style"/>
          <w:i/>
          <w:iCs/>
          <w:sz w:val="22"/>
          <w:szCs w:val="22"/>
        </w:rPr>
        <w:t>also citing: Stefaneli v. Minard</w:t>
      </w:r>
      <w:r w:rsidR="00B4167C" w:rsidRPr="00B77E3C">
        <w:rPr>
          <w:rFonts w:ascii="Bookman Old Style" w:hAnsi="Bookman Old Style"/>
          <w:sz w:val="22"/>
          <w:szCs w:val="22"/>
        </w:rPr>
        <w:t xml:space="preserve">, 342 U.S. 117, 119 (1951); </w:t>
      </w:r>
      <w:r w:rsidR="00B4167C" w:rsidRPr="00B77E3C">
        <w:rPr>
          <w:rFonts w:ascii="Bookman Old Style" w:hAnsi="Bookman Old Style"/>
          <w:i/>
          <w:iCs/>
          <w:sz w:val="22"/>
          <w:szCs w:val="22"/>
        </w:rPr>
        <w:t>also citing</w:t>
      </w:r>
      <w:r w:rsidR="00B4167C" w:rsidRPr="00B77E3C">
        <w:rPr>
          <w:rFonts w:ascii="Bookman Old Style" w:hAnsi="Bookman Old Style"/>
          <w:sz w:val="22"/>
          <w:szCs w:val="22"/>
        </w:rPr>
        <w:t xml:space="preserve"> </w:t>
      </w:r>
      <w:r w:rsidR="00B4167C" w:rsidRPr="00B77E3C">
        <w:rPr>
          <w:rFonts w:ascii="Bookman Old Style" w:hAnsi="Bookman Old Style"/>
          <w:i/>
          <w:iCs/>
          <w:sz w:val="22"/>
          <w:szCs w:val="22"/>
        </w:rPr>
        <w:t>Irvine v. California</w:t>
      </w:r>
      <w:r w:rsidR="00B4167C" w:rsidRPr="00B77E3C">
        <w:rPr>
          <w:rFonts w:ascii="Bookman Old Style" w:hAnsi="Bookman Old Style"/>
          <w:sz w:val="22"/>
          <w:szCs w:val="22"/>
        </w:rPr>
        <w:t>, 347 UI</w:t>
      </w:r>
    </w:p>
  </w:footnote>
  <w:footnote w:id="2">
    <w:p w:rsidR="007564E5" w:rsidRPr="00FD20CB" w:rsidRDefault="007564E5">
      <w:pPr>
        <w:pStyle w:val="FootnoteText"/>
        <w:rPr>
          <w:rFonts w:ascii="Bookman Old Style" w:hAnsi="Bookman Old Style"/>
          <w:sz w:val="22"/>
          <w:szCs w:val="22"/>
        </w:rPr>
      </w:pPr>
      <w:r w:rsidRPr="00B77E3C">
        <w:rPr>
          <w:rStyle w:val="FootnoteReference"/>
          <w:rFonts w:ascii="Bookman Old Style" w:hAnsi="Bookman Old Style"/>
          <w:sz w:val="22"/>
          <w:szCs w:val="22"/>
        </w:rPr>
        <w:footnoteRef/>
      </w:r>
      <w:r w:rsidRPr="00B77E3C">
        <w:rPr>
          <w:rFonts w:ascii="Bookman Old Style" w:hAnsi="Bookman Old Style"/>
          <w:sz w:val="22"/>
          <w:szCs w:val="22"/>
        </w:rPr>
        <w:t xml:space="preserve"> </w:t>
      </w:r>
      <w:r w:rsidR="00DD33D8">
        <w:rPr>
          <w:rFonts w:ascii="Bookman Old Style" w:hAnsi="Bookman Old Style"/>
          <w:i/>
          <w:iCs/>
          <w:sz w:val="22"/>
          <w:szCs w:val="22"/>
        </w:rPr>
        <w:t>See Riley v. California</w:t>
      </w:r>
      <w:r w:rsidR="00DD33D8">
        <w:rPr>
          <w:rFonts w:ascii="Bookman Old Style" w:hAnsi="Bookman Old Style"/>
          <w:sz w:val="22"/>
          <w:szCs w:val="22"/>
        </w:rPr>
        <w:t>, 573 U.S. 373</w:t>
      </w:r>
      <w:r w:rsidR="00BA6C09">
        <w:rPr>
          <w:rFonts w:ascii="Bookman Old Style" w:hAnsi="Bookman Old Style"/>
          <w:sz w:val="22"/>
          <w:szCs w:val="22"/>
        </w:rPr>
        <w:t xml:space="preserve"> (finding a reasonable expectation of privacy in call log data contained on a phon</w:t>
      </w:r>
      <w:r w:rsidR="00D87E1F">
        <w:rPr>
          <w:rFonts w:ascii="Bookman Old Style" w:hAnsi="Bookman Old Style"/>
          <w:sz w:val="22"/>
          <w:szCs w:val="22"/>
        </w:rPr>
        <w:t>e</w:t>
      </w:r>
      <w:r w:rsidR="00BA6C09">
        <w:rPr>
          <w:rFonts w:ascii="Bookman Old Style" w:hAnsi="Bookman Old Style"/>
          <w:sz w:val="22"/>
          <w:szCs w:val="22"/>
        </w:rPr>
        <w:t>)</w:t>
      </w:r>
      <w:r w:rsidR="00DD33D8">
        <w:rPr>
          <w:rFonts w:ascii="Bookman Old Style" w:hAnsi="Bookman Old Style"/>
          <w:sz w:val="22"/>
          <w:szCs w:val="22"/>
        </w:rPr>
        <w:t xml:space="preserve"> ;</w:t>
      </w:r>
      <w:r w:rsidR="00DD33D8">
        <w:rPr>
          <w:rFonts w:ascii="Bookman Old Style" w:hAnsi="Bookman Old Style"/>
          <w:i/>
          <w:iCs/>
          <w:sz w:val="22"/>
          <w:szCs w:val="22"/>
        </w:rPr>
        <w:t>s</w:t>
      </w:r>
      <w:r w:rsidR="00B77E3C" w:rsidRPr="00B77E3C">
        <w:rPr>
          <w:rFonts w:ascii="Bookman Old Style" w:hAnsi="Bookman Old Style"/>
          <w:i/>
          <w:iCs/>
          <w:sz w:val="22"/>
          <w:szCs w:val="22"/>
        </w:rPr>
        <w:t xml:space="preserve">ee </w:t>
      </w:r>
      <w:r w:rsidR="00DD33D8">
        <w:rPr>
          <w:rFonts w:ascii="Bookman Old Style" w:hAnsi="Bookman Old Style"/>
          <w:i/>
          <w:iCs/>
          <w:sz w:val="22"/>
          <w:szCs w:val="22"/>
        </w:rPr>
        <w:t xml:space="preserve">also </w:t>
      </w:r>
      <w:r w:rsidR="00B77E3C" w:rsidRPr="00B77E3C">
        <w:rPr>
          <w:rFonts w:ascii="Bookman Old Style" w:hAnsi="Bookman Old Style"/>
          <w:i/>
          <w:iCs/>
          <w:sz w:val="22"/>
          <w:szCs w:val="22"/>
        </w:rPr>
        <w:t>U.S. v. Heckenkamp</w:t>
      </w:r>
      <w:r w:rsidR="00B77E3C" w:rsidRPr="00B77E3C">
        <w:rPr>
          <w:rFonts w:ascii="Bookman Old Style" w:hAnsi="Bookman Old Style"/>
          <w:sz w:val="22"/>
          <w:szCs w:val="22"/>
        </w:rPr>
        <w:t>, 482 F.3d 1142, 1146 (9</w:t>
      </w:r>
      <w:r w:rsidR="00B77E3C" w:rsidRPr="00B77E3C">
        <w:rPr>
          <w:rFonts w:ascii="Bookman Old Style" w:hAnsi="Bookman Old Style"/>
          <w:sz w:val="22"/>
          <w:szCs w:val="22"/>
          <w:vertAlign w:val="superscript"/>
        </w:rPr>
        <w:t>th</w:t>
      </w:r>
      <w:r w:rsidR="00B77E3C" w:rsidRPr="00B77E3C">
        <w:rPr>
          <w:rFonts w:ascii="Bookman Old Style" w:hAnsi="Bookman Old Style"/>
          <w:sz w:val="22"/>
          <w:szCs w:val="22"/>
        </w:rPr>
        <w:t xml:space="preserve"> Cir. 2007) (holding that there is</w:t>
      </w:r>
      <w:r w:rsidRPr="00B77E3C">
        <w:rPr>
          <w:rFonts w:ascii="Bookman Old Style" w:hAnsi="Bookman Old Style"/>
          <w:sz w:val="22"/>
          <w:szCs w:val="22"/>
        </w:rPr>
        <w:t xml:space="preserve"> </w:t>
      </w:r>
      <w:r w:rsidR="00B77E3C" w:rsidRPr="00B77E3C">
        <w:rPr>
          <w:rStyle w:val="ssrfcsection"/>
          <w:rFonts w:ascii="Bookman Old Style" w:hAnsi="Bookman Old Style"/>
          <w:sz w:val="22"/>
          <w:szCs w:val="22"/>
        </w:rPr>
        <w:t xml:space="preserve">a legitimate, objectively </w:t>
      </w:r>
      <w:r w:rsidR="00B77E3C" w:rsidRPr="00B77E3C">
        <w:rPr>
          <w:rStyle w:val="sssh"/>
          <w:rFonts w:ascii="Bookman Old Style" w:hAnsi="Bookman Old Style"/>
          <w:sz w:val="22"/>
          <w:szCs w:val="22"/>
        </w:rPr>
        <w:t>reasonable expectation of privacy</w:t>
      </w:r>
      <w:r w:rsidR="00B77E3C" w:rsidRPr="00B77E3C">
        <w:rPr>
          <w:rStyle w:val="ssrfcsection"/>
          <w:rFonts w:ascii="Bookman Old Style" w:hAnsi="Bookman Old Style"/>
          <w:sz w:val="22"/>
          <w:szCs w:val="22"/>
        </w:rPr>
        <w:t xml:space="preserve"> in a personal </w:t>
      </w:r>
      <w:r w:rsidR="00B77E3C" w:rsidRPr="00B77E3C">
        <w:rPr>
          <w:rStyle w:val="sssh"/>
          <w:rFonts w:ascii="Bookman Old Style" w:hAnsi="Bookman Old Style"/>
          <w:sz w:val="22"/>
          <w:szCs w:val="22"/>
        </w:rPr>
        <w:t xml:space="preserve">computer); </w:t>
      </w:r>
      <w:r w:rsidR="00B77E3C" w:rsidRPr="00B77E3C">
        <w:rPr>
          <w:rStyle w:val="sssh"/>
          <w:rFonts w:ascii="Bookman Old Style" w:hAnsi="Bookman Old Style"/>
          <w:i/>
          <w:iCs/>
          <w:sz w:val="22"/>
          <w:szCs w:val="22"/>
        </w:rPr>
        <w:t>citing U.S. v. Buckner</w:t>
      </w:r>
      <w:r w:rsidR="00B77E3C" w:rsidRPr="00B77E3C">
        <w:rPr>
          <w:rStyle w:val="sssh"/>
          <w:rFonts w:ascii="Bookman Old Style" w:hAnsi="Bookman Old Style"/>
          <w:sz w:val="22"/>
          <w:szCs w:val="22"/>
        </w:rPr>
        <w:t>, 473 F.3d 551, 554n.2 (4</w:t>
      </w:r>
      <w:r w:rsidR="00B77E3C" w:rsidRPr="00B77E3C">
        <w:rPr>
          <w:rStyle w:val="sssh"/>
          <w:rFonts w:ascii="Bookman Old Style" w:hAnsi="Bookman Old Style"/>
          <w:sz w:val="22"/>
          <w:szCs w:val="22"/>
          <w:vertAlign w:val="superscript"/>
        </w:rPr>
        <w:t>th</w:t>
      </w:r>
      <w:r w:rsidR="00B77E3C" w:rsidRPr="00B77E3C">
        <w:rPr>
          <w:rStyle w:val="sssh"/>
          <w:rFonts w:ascii="Bookman Old Style" w:hAnsi="Bookman Old Style"/>
          <w:sz w:val="22"/>
          <w:szCs w:val="22"/>
        </w:rPr>
        <w:t xml:space="preserve"> Cir. 2007) (recognizing a reasonable expectation of privacy in password-protected </w:t>
      </w:r>
      <w:r w:rsidR="00B77E3C" w:rsidRPr="00FD20CB">
        <w:rPr>
          <w:rStyle w:val="sssh"/>
          <w:rFonts w:ascii="Bookman Old Style" w:hAnsi="Bookman Old Style"/>
          <w:sz w:val="22"/>
          <w:szCs w:val="22"/>
        </w:rPr>
        <w:t>computer files)</w:t>
      </w:r>
    </w:p>
  </w:footnote>
  <w:footnote w:id="3">
    <w:p w:rsidR="007564E5" w:rsidRPr="00FD20CB" w:rsidRDefault="007564E5">
      <w:pPr>
        <w:pStyle w:val="FootnoteText"/>
        <w:rPr>
          <w:rFonts w:ascii="Bookman Old Style" w:hAnsi="Bookman Old Style"/>
          <w:sz w:val="22"/>
          <w:szCs w:val="22"/>
        </w:rPr>
      </w:pPr>
      <w:r w:rsidRPr="00FD20CB">
        <w:rPr>
          <w:rStyle w:val="FootnoteReference"/>
          <w:rFonts w:ascii="Bookman Old Style" w:hAnsi="Bookman Old Style"/>
          <w:sz w:val="22"/>
          <w:szCs w:val="22"/>
        </w:rPr>
        <w:footnoteRef/>
      </w:r>
      <w:r w:rsidRPr="00FD20CB">
        <w:rPr>
          <w:rFonts w:ascii="Bookman Old Style" w:hAnsi="Bookman Old Style"/>
          <w:sz w:val="22"/>
          <w:szCs w:val="22"/>
        </w:rPr>
        <w:t xml:space="preserve"> </w:t>
      </w:r>
      <w:r w:rsidR="0080751F" w:rsidRPr="00FD20CB">
        <w:rPr>
          <w:rFonts w:ascii="Bookman Old Style" w:hAnsi="Bookman Old Style"/>
          <w:i/>
          <w:iCs/>
          <w:sz w:val="22"/>
          <w:szCs w:val="22"/>
        </w:rPr>
        <w:t>U.S. v. Scott</w:t>
      </w:r>
      <w:r w:rsidR="0080751F" w:rsidRPr="00FD20CB">
        <w:rPr>
          <w:rFonts w:ascii="Bookman Old Style" w:hAnsi="Bookman Old Style"/>
          <w:sz w:val="22"/>
          <w:szCs w:val="22"/>
        </w:rPr>
        <w:t>, 450 F.3d 863</w:t>
      </w:r>
      <w:r w:rsidR="00D87E1F" w:rsidRPr="00FD20CB">
        <w:rPr>
          <w:rFonts w:ascii="Bookman Old Style" w:hAnsi="Bookman Old Style"/>
          <w:sz w:val="22"/>
          <w:szCs w:val="22"/>
        </w:rPr>
        <w:t>, 868, 875</w:t>
      </w:r>
      <w:r w:rsidR="0080751F" w:rsidRPr="00FD20CB">
        <w:rPr>
          <w:rFonts w:ascii="Bookman Old Style" w:hAnsi="Bookman Old Style"/>
          <w:sz w:val="22"/>
          <w:szCs w:val="22"/>
        </w:rPr>
        <w:t xml:space="preserve"> (9</w:t>
      </w:r>
      <w:r w:rsidR="0080751F" w:rsidRPr="00FD20CB">
        <w:rPr>
          <w:rFonts w:ascii="Bookman Old Style" w:hAnsi="Bookman Old Style"/>
          <w:sz w:val="22"/>
          <w:szCs w:val="22"/>
          <w:vertAlign w:val="superscript"/>
        </w:rPr>
        <w:t>th</w:t>
      </w:r>
      <w:r w:rsidR="0080751F" w:rsidRPr="00FD20CB">
        <w:rPr>
          <w:rFonts w:ascii="Bookman Old Style" w:hAnsi="Bookman Old Style"/>
          <w:sz w:val="22"/>
          <w:szCs w:val="22"/>
        </w:rPr>
        <w:t xml:space="preserve"> Cir., 2006) (</w:t>
      </w:r>
      <w:r w:rsidR="00D87E1F" w:rsidRPr="00FD20CB">
        <w:rPr>
          <w:rFonts w:ascii="Bookman Old Style" w:hAnsi="Bookman Old Style"/>
          <w:sz w:val="22"/>
          <w:szCs w:val="22"/>
        </w:rPr>
        <w:t xml:space="preserve">holding that one who has been released on pre-trial bail does not lose his or her Fourth Amendment protections); </w:t>
      </w:r>
      <w:r w:rsidR="00D87E1F" w:rsidRPr="00FD20CB">
        <w:rPr>
          <w:rFonts w:ascii="Bookman Old Style" w:hAnsi="Bookman Old Style"/>
          <w:i/>
          <w:iCs/>
          <w:sz w:val="22"/>
          <w:szCs w:val="22"/>
        </w:rPr>
        <w:t>See also</w:t>
      </w:r>
      <w:r w:rsidR="00D87E1F" w:rsidRPr="00FD20CB">
        <w:rPr>
          <w:rFonts w:ascii="Bookman Old Style" w:hAnsi="Bookman Old Style"/>
          <w:sz w:val="22"/>
          <w:szCs w:val="22"/>
        </w:rPr>
        <w:t xml:space="preserve"> </w:t>
      </w:r>
      <w:r w:rsidR="00D87E1F" w:rsidRPr="00FD20CB">
        <w:rPr>
          <w:rFonts w:ascii="Bookman Old Style" w:hAnsi="Bookman Old Style"/>
          <w:i/>
          <w:iCs/>
          <w:sz w:val="22"/>
          <w:szCs w:val="22"/>
        </w:rPr>
        <w:t>U.S. v. Gardner</w:t>
      </w:r>
      <w:r w:rsidR="00D87E1F" w:rsidRPr="00FD20CB">
        <w:rPr>
          <w:rFonts w:ascii="Bookman Old Style" w:hAnsi="Bookman Old Style"/>
          <w:sz w:val="22"/>
          <w:szCs w:val="22"/>
        </w:rPr>
        <w:t>, 523 F. Supp. 2d 1025, 1034 (Cal. N. Dist., 2007) (holding that defendants on pretrial release do not have reduced expectations of privacy like probationers).</w:t>
      </w:r>
    </w:p>
  </w:footnote>
  <w:footnote w:id="4">
    <w:p w:rsidR="00980792" w:rsidRPr="00980792" w:rsidRDefault="00980792">
      <w:pPr>
        <w:pStyle w:val="FootnoteText"/>
      </w:pPr>
      <w:r>
        <w:rPr>
          <w:rStyle w:val="FootnoteReference"/>
        </w:rPr>
        <w:footnoteRef/>
      </w:r>
      <w:r>
        <w:t xml:space="preserve"> </w:t>
      </w:r>
      <w:r>
        <w:rPr>
          <w:i/>
        </w:rPr>
        <w:t xml:space="preserve">People v. Bradley </w:t>
      </w:r>
      <w:r>
        <w:t>(1969) 1 Cal.3d 80, 86.</w:t>
      </w:r>
    </w:p>
  </w:footnote>
  <w:footnote w:id="5">
    <w:p w:rsidR="00C043F9" w:rsidRPr="00C043F9" w:rsidRDefault="00C043F9">
      <w:pPr>
        <w:pStyle w:val="FootnoteText"/>
      </w:pPr>
      <w:r>
        <w:rPr>
          <w:rStyle w:val="FootnoteReference"/>
        </w:rPr>
        <w:footnoteRef/>
      </w:r>
      <w:r>
        <w:t xml:space="preserve"> </w:t>
      </w:r>
      <w:r w:rsidRPr="00FD20CB">
        <w:rPr>
          <w:rFonts w:ascii="Bookman Old Style" w:hAnsi="Bookman Old Style"/>
          <w:i/>
          <w:iCs/>
          <w:sz w:val="22"/>
          <w:szCs w:val="22"/>
        </w:rPr>
        <w:t>U.S. v. Scott</w:t>
      </w:r>
      <w:r>
        <w:rPr>
          <w:rFonts w:ascii="Bookman Old Style" w:hAnsi="Bookman Old Style"/>
          <w:i/>
          <w:iCs/>
          <w:sz w:val="22"/>
          <w:szCs w:val="22"/>
        </w:rPr>
        <w:t xml:space="preserve"> </w:t>
      </w:r>
      <w:r>
        <w:rPr>
          <w:rFonts w:ascii="Bookman Old Style" w:hAnsi="Bookman Old Style"/>
          <w:iCs/>
          <w:sz w:val="22"/>
          <w:szCs w:val="22"/>
        </w:rPr>
        <w:t>at 865.</w:t>
      </w:r>
    </w:p>
  </w:footnote>
  <w:footnote w:id="6">
    <w:p w:rsidR="00602E73" w:rsidRPr="00602E73" w:rsidRDefault="00602E73">
      <w:pPr>
        <w:pStyle w:val="FootnoteText"/>
      </w:pPr>
      <w:r>
        <w:rPr>
          <w:rStyle w:val="FootnoteReference"/>
        </w:rPr>
        <w:footnoteRef/>
      </w:r>
      <w:r>
        <w:t xml:space="preserve"> </w:t>
      </w:r>
      <w:r>
        <w:rPr>
          <w:i/>
        </w:rPr>
        <w:t xml:space="preserve">Id., </w:t>
      </w:r>
      <w:r>
        <w:t>at 865.</w:t>
      </w:r>
    </w:p>
  </w:footnote>
  <w:footnote w:id="7">
    <w:p w:rsidR="009F2B27" w:rsidRPr="009F2B27" w:rsidRDefault="009F2B27">
      <w:pPr>
        <w:pStyle w:val="FootnoteText"/>
      </w:pPr>
      <w:r>
        <w:rPr>
          <w:rStyle w:val="FootnoteReference"/>
        </w:rPr>
        <w:footnoteRef/>
      </w:r>
      <w:r>
        <w:t xml:space="preserve"> </w:t>
      </w:r>
      <w:r>
        <w:rPr>
          <w:i/>
        </w:rPr>
        <w:t>Id.</w:t>
      </w:r>
    </w:p>
  </w:footnote>
  <w:footnote w:id="8">
    <w:p w:rsidR="009F2B27" w:rsidRPr="009F2B27" w:rsidRDefault="009F2B27">
      <w:pPr>
        <w:pStyle w:val="FootnoteText"/>
      </w:pPr>
      <w:r>
        <w:rPr>
          <w:rStyle w:val="FootnoteReference"/>
        </w:rPr>
        <w:footnoteRef/>
      </w:r>
      <w:r>
        <w:t xml:space="preserve"> </w:t>
      </w:r>
      <w:r>
        <w:rPr>
          <w:i/>
        </w:rPr>
        <w:t xml:space="preserve">Id., </w:t>
      </w:r>
      <w:r>
        <w:t>at 866.</w:t>
      </w:r>
    </w:p>
  </w:footnote>
  <w:footnote w:id="9">
    <w:p w:rsidR="007D7404" w:rsidRPr="007D7404" w:rsidRDefault="007D7404">
      <w:pPr>
        <w:pStyle w:val="FootnoteText"/>
      </w:pPr>
      <w:r>
        <w:rPr>
          <w:rStyle w:val="FootnoteReference"/>
        </w:rPr>
        <w:footnoteRef/>
      </w:r>
      <w:r>
        <w:t xml:space="preserve"> </w:t>
      </w:r>
      <w:r>
        <w:rPr>
          <w:i/>
        </w:rPr>
        <w:t>Id.</w:t>
      </w:r>
    </w:p>
  </w:footnote>
  <w:footnote w:id="10">
    <w:p w:rsidR="007D7404" w:rsidRPr="007D7404" w:rsidRDefault="007D7404">
      <w:pPr>
        <w:pStyle w:val="FootnoteText"/>
        <w:rPr>
          <w:i/>
        </w:rPr>
      </w:pPr>
      <w:r>
        <w:rPr>
          <w:rStyle w:val="FootnoteReference"/>
        </w:rPr>
        <w:footnoteRef/>
      </w:r>
      <w:r>
        <w:t xml:space="preserve"> </w:t>
      </w:r>
      <w:r>
        <w:rPr>
          <w:i/>
        </w:rPr>
        <w:t>Id.</w:t>
      </w:r>
    </w:p>
  </w:footnote>
  <w:footnote w:id="11">
    <w:p w:rsidR="00512167" w:rsidRPr="00512167" w:rsidRDefault="00512167">
      <w:pPr>
        <w:pStyle w:val="FootnoteText"/>
      </w:pPr>
      <w:r>
        <w:rPr>
          <w:rStyle w:val="FootnoteReference"/>
        </w:rPr>
        <w:footnoteRef/>
      </w:r>
      <w:r>
        <w:t xml:space="preserve"> </w:t>
      </w:r>
      <w:r>
        <w:rPr>
          <w:i/>
        </w:rPr>
        <w:t xml:space="preserve">Id., </w:t>
      </w:r>
      <w:r>
        <w:t>at 867.</w:t>
      </w:r>
    </w:p>
  </w:footnote>
  <w:footnote w:id="12">
    <w:p w:rsidR="000D7A70" w:rsidRPr="000D7A70" w:rsidRDefault="000D7A70">
      <w:pPr>
        <w:pStyle w:val="FootnoteText"/>
      </w:pPr>
      <w:r>
        <w:rPr>
          <w:rStyle w:val="FootnoteReference"/>
        </w:rPr>
        <w:footnoteRef/>
      </w:r>
      <w:r>
        <w:t xml:space="preserve"> </w:t>
      </w:r>
      <w:r>
        <w:rPr>
          <w:i/>
        </w:rPr>
        <w:t xml:space="preserve">Id, </w:t>
      </w:r>
      <w:r>
        <w:t>at footnote 4.</w:t>
      </w:r>
    </w:p>
  </w:footnote>
  <w:footnote w:id="13">
    <w:p w:rsidR="000D7A70" w:rsidRPr="0008395C" w:rsidRDefault="000D7A70">
      <w:pPr>
        <w:pStyle w:val="FootnoteText"/>
      </w:pPr>
      <w:r>
        <w:rPr>
          <w:rStyle w:val="FootnoteReference"/>
        </w:rPr>
        <w:footnoteRef/>
      </w:r>
      <w:r>
        <w:t xml:space="preserve"> </w:t>
      </w:r>
      <w:r w:rsidR="0008395C">
        <w:rPr>
          <w:i/>
        </w:rPr>
        <w:t xml:space="preserve">Id., </w:t>
      </w:r>
      <w:r w:rsidR="0008395C">
        <w:t>at 867-868.</w:t>
      </w:r>
    </w:p>
  </w:footnote>
  <w:footnote w:id="14">
    <w:p w:rsidR="00A32905" w:rsidRPr="00A32905" w:rsidRDefault="00A32905">
      <w:pPr>
        <w:pStyle w:val="FootnoteText"/>
      </w:pPr>
      <w:r>
        <w:rPr>
          <w:rStyle w:val="FootnoteReference"/>
        </w:rPr>
        <w:footnoteRef/>
      </w:r>
      <w:r>
        <w:t xml:space="preserve"> </w:t>
      </w:r>
      <w:r>
        <w:rPr>
          <w:i/>
        </w:rPr>
        <w:t xml:space="preserve">Id., </w:t>
      </w:r>
      <w:r>
        <w:t>at footnote 5.</w:t>
      </w:r>
    </w:p>
  </w:footnote>
  <w:footnote w:id="15">
    <w:p w:rsidR="00EB15F4" w:rsidRPr="00EB15F4" w:rsidRDefault="00EB15F4">
      <w:pPr>
        <w:pStyle w:val="FootnoteText"/>
      </w:pPr>
      <w:r>
        <w:rPr>
          <w:rStyle w:val="FootnoteReference"/>
        </w:rPr>
        <w:footnoteRef/>
      </w:r>
      <w:r>
        <w:t xml:space="preserve"> </w:t>
      </w:r>
      <w:r>
        <w:rPr>
          <w:i/>
        </w:rPr>
        <w:t xml:space="preserve">Id., </w:t>
      </w:r>
      <w:r>
        <w:t>at 868.</w:t>
      </w:r>
    </w:p>
  </w:footnote>
  <w:footnote w:id="16">
    <w:p w:rsidR="00EB15F4" w:rsidRPr="00EB15F4" w:rsidRDefault="00EB15F4">
      <w:pPr>
        <w:pStyle w:val="FootnoteText"/>
      </w:pPr>
      <w:r>
        <w:rPr>
          <w:rStyle w:val="FootnoteReference"/>
        </w:rPr>
        <w:footnoteRef/>
      </w:r>
      <w:r>
        <w:t xml:space="preserve"> </w:t>
      </w:r>
      <w:r>
        <w:rPr>
          <w:i/>
        </w:rPr>
        <w:t>Id</w:t>
      </w:r>
      <w:r w:rsidR="003144C0">
        <w:rPr>
          <w:i/>
        </w:rPr>
        <w:t>..</w:t>
      </w:r>
    </w:p>
  </w:footnote>
  <w:footnote w:id="17">
    <w:p w:rsidR="003144C0" w:rsidRPr="003144C0" w:rsidRDefault="003144C0">
      <w:pPr>
        <w:pStyle w:val="FootnoteText"/>
      </w:pPr>
      <w:r>
        <w:rPr>
          <w:rStyle w:val="FootnoteReference"/>
        </w:rPr>
        <w:footnoteRef/>
      </w:r>
      <w:r>
        <w:t xml:space="preserve"> </w:t>
      </w:r>
      <w:r>
        <w:rPr>
          <w:i/>
        </w:rPr>
        <w:t xml:space="preserve">Id., </w:t>
      </w:r>
      <w:r>
        <w:t>at 869</w:t>
      </w:r>
    </w:p>
  </w:footnote>
  <w:footnote w:id="18">
    <w:p w:rsidR="00001F60" w:rsidRPr="00001F60" w:rsidRDefault="00001F60">
      <w:pPr>
        <w:pStyle w:val="FootnoteText"/>
      </w:pPr>
      <w:r>
        <w:rPr>
          <w:rStyle w:val="FootnoteReference"/>
        </w:rPr>
        <w:footnoteRef/>
      </w:r>
      <w:r>
        <w:t xml:space="preserve"> </w:t>
      </w:r>
      <w:r>
        <w:rPr>
          <w:i/>
        </w:rPr>
        <w:t xml:space="preserve">Id., </w:t>
      </w:r>
      <w:r>
        <w:t>at 870.</w:t>
      </w:r>
    </w:p>
  </w:footnote>
  <w:footnote w:id="19">
    <w:p w:rsidR="00C07A06" w:rsidRPr="00C07A06" w:rsidRDefault="00C07A06">
      <w:pPr>
        <w:pStyle w:val="FootnoteText"/>
        <w:rPr>
          <w:i/>
        </w:rPr>
      </w:pPr>
      <w:r>
        <w:rPr>
          <w:rStyle w:val="FootnoteReference"/>
        </w:rPr>
        <w:footnoteRef/>
      </w:r>
      <w:r>
        <w:t xml:space="preserve"> </w:t>
      </w:r>
      <w:r>
        <w:rPr>
          <w:i/>
        </w:rPr>
        <w:t>Id.</w:t>
      </w:r>
    </w:p>
  </w:footnote>
  <w:footnote w:id="20">
    <w:p w:rsidR="00C07A06" w:rsidRPr="00C07A06" w:rsidRDefault="00C07A06">
      <w:pPr>
        <w:pStyle w:val="FootnoteText"/>
      </w:pPr>
      <w:r>
        <w:rPr>
          <w:rStyle w:val="FootnoteReference"/>
        </w:rPr>
        <w:footnoteRef/>
      </w:r>
      <w:r>
        <w:t xml:space="preserve"> </w:t>
      </w:r>
      <w:r>
        <w:rPr>
          <w:i/>
        </w:rPr>
        <w:t>Id.</w:t>
      </w:r>
    </w:p>
  </w:footnote>
  <w:footnote w:id="21">
    <w:p w:rsidR="00636858" w:rsidRDefault="00636858">
      <w:pPr>
        <w:pStyle w:val="FootnoteText"/>
      </w:pPr>
      <w:r>
        <w:rPr>
          <w:rStyle w:val="FootnoteReference"/>
        </w:rPr>
        <w:footnoteRef/>
      </w:r>
      <w:r>
        <w:t xml:space="preserve"> Id.</w:t>
      </w:r>
    </w:p>
  </w:footnote>
  <w:footnote w:id="22">
    <w:p w:rsidR="00636858" w:rsidRPr="00636858" w:rsidRDefault="00636858">
      <w:pPr>
        <w:pStyle w:val="FootnoteText"/>
        <w:rPr>
          <w:i/>
        </w:rPr>
      </w:pPr>
      <w:r>
        <w:rPr>
          <w:rStyle w:val="FootnoteReference"/>
        </w:rPr>
        <w:footnoteRef/>
      </w:r>
      <w:r>
        <w:t xml:space="preserve"> </w:t>
      </w:r>
      <w:r w:rsidR="00C5229B">
        <w:rPr>
          <w:i/>
        </w:rPr>
        <w:t>Id.</w:t>
      </w:r>
    </w:p>
  </w:footnote>
  <w:footnote w:id="23">
    <w:p w:rsidR="00C5229B" w:rsidRPr="00C5229B" w:rsidRDefault="00C5229B">
      <w:pPr>
        <w:pStyle w:val="FootnoteText"/>
      </w:pPr>
      <w:r>
        <w:rPr>
          <w:rStyle w:val="FootnoteReference"/>
        </w:rPr>
        <w:footnoteRef/>
      </w:r>
      <w:r>
        <w:t xml:space="preserve"> </w:t>
      </w:r>
      <w:r>
        <w:rPr>
          <w:i/>
        </w:rPr>
        <w:t xml:space="preserve">Id., </w:t>
      </w:r>
      <w:r>
        <w:t>at 872.</w:t>
      </w:r>
    </w:p>
  </w:footnote>
  <w:footnote w:id="24">
    <w:p w:rsidR="000145F4" w:rsidRPr="000145F4" w:rsidRDefault="000145F4">
      <w:pPr>
        <w:pStyle w:val="FootnoteText"/>
      </w:pPr>
      <w:r>
        <w:rPr>
          <w:rStyle w:val="FootnoteReference"/>
        </w:rPr>
        <w:footnoteRef/>
      </w:r>
      <w:r>
        <w:t xml:space="preserve"> </w:t>
      </w:r>
      <w:r>
        <w:rPr>
          <w:i/>
        </w:rPr>
        <w:t xml:space="preserve">Id., </w:t>
      </w:r>
      <w:r>
        <w:t>at 871.</w:t>
      </w:r>
      <w:r w:rsidR="003E41C8">
        <w:t xml:space="preserve">  Emphasis added.</w:t>
      </w:r>
    </w:p>
  </w:footnote>
  <w:footnote w:id="25">
    <w:p w:rsidR="00047C16" w:rsidRPr="00047C16" w:rsidRDefault="00047C16">
      <w:pPr>
        <w:pStyle w:val="FootnoteText"/>
      </w:pPr>
      <w:r>
        <w:rPr>
          <w:rStyle w:val="FootnoteReference"/>
        </w:rPr>
        <w:footnoteRef/>
      </w:r>
      <w:r>
        <w:t xml:space="preserve"> </w:t>
      </w:r>
      <w:r>
        <w:rPr>
          <w:i/>
        </w:rPr>
        <w:t xml:space="preserve">Id., </w:t>
      </w:r>
      <w:r>
        <w:t>at 874.</w:t>
      </w:r>
    </w:p>
  </w:footnote>
  <w:footnote w:id="26">
    <w:p w:rsidR="00582F91" w:rsidRPr="00582F91" w:rsidRDefault="00582F91">
      <w:pPr>
        <w:pStyle w:val="FootnoteText"/>
      </w:pPr>
      <w:r>
        <w:rPr>
          <w:rStyle w:val="FootnoteReference"/>
        </w:rPr>
        <w:footnoteRef/>
      </w:r>
      <w:r>
        <w:t xml:space="preserve"> </w:t>
      </w:r>
      <w:r>
        <w:rPr>
          <w:i/>
        </w:rPr>
        <w:t xml:space="preserve">Id. </w:t>
      </w:r>
    </w:p>
  </w:footnote>
  <w:footnote w:id="27">
    <w:p w:rsidR="005D3A5C" w:rsidRPr="005D3A5C" w:rsidRDefault="005D3A5C">
      <w:pPr>
        <w:pStyle w:val="FootnoteText"/>
        <w:rPr>
          <w:i/>
        </w:rPr>
      </w:pPr>
      <w:r>
        <w:rPr>
          <w:rStyle w:val="FootnoteReference"/>
        </w:rPr>
        <w:footnoteRef/>
      </w:r>
      <w:r>
        <w:t xml:space="preserve"> </w:t>
      </w:r>
      <w:r>
        <w:rPr>
          <w:i/>
        </w:rPr>
        <w:t>Id.</w:t>
      </w:r>
    </w:p>
  </w:footnote>
  <w:footnote w:id="28">
    <w:p w:rsidR="00C30846" w:rsidRDefault="00C30846">
      <w:pPr>
        <w:pStyle w:val="FootnoteText"/>
      </w:pPr>
      <w:r>
        <w:rPr>
          <w:rStyle w:val="FootnoteReference"/>
        </w:rPr>
        <w:footnoteRef/>
      </w:r>
      <w:r>
        <w:t xml:space="preserve"> The defendant does not concede to the appropriateness of such methods, in so far as they, to, do not provide actual evidence or specifics (other than prior convictions and failures to appear) regarding an indicidual defendant.</w:t>
      </w:r>
    </w:p>
  </w:footnote>
  <w:footnote w:id="29">
    <w:p w:rsidR="007564E5" w:rsidRPr="008707FF" w:rsidRDefault="007564E5">
      <w:pPr>
        <w:pStyle w:val="FootnoteText"/>
        <w:rPr>
          <w:i/>
          <w:iCs/>
        </w:rPr>
      </w:pPr>
      <w:r>
        <w:rPr>
          <w:rStyle w:val="FootnoteReference"/>
        </w:rPr>
        <w:footnoteRef/>
      </w:r>
      <w:r>
        <w:t xml:space="preserve"> </w:t>
      </w:r>
      <w:r w:rsidR="00C823B0">
        <w:rPr>
          <w:i/>
          <w:iCs/>
        </w:rPr>
        <w:t>See Bernstein v. U.S. Dep’t of State</w:t>
      </w:r>
      <w:r w:rsidR="00C823B0">
        <w:t>, 974 F. Supp. 1288, 1292 (Cal. N. Dist. Ct. 1997).</w:t>
      </w:r>
      <w:r w:rsidR="008707FF">
        <w:t xml:space="preserve"> </w:t>
      </w:r>
      <w:r w:rsidR="008707FF">
        <w:rPr>
          <w:i/>
          <w:iCs/>
        </w:rPr>
        <w:t xml:space="preserve">See also </w:t>
      </w:r>
      <w:hyperlink r:id="rId1" w:history="1">
        <w:r w:rsidR="008707FF" w:rsidRPr="004C3647">
          <w:rPr>
            <w:rStyle w:val="Hyperlink"/>
          </w:rPr>
          <w:t>https://en.wikipedia.org/wiki/Encryption</w:t>
        </w:r>
      </w:hyperlink>
      <w:r w:rsidR="008707FF">
        <w:t xml:space="preserve"> (accessed October 26, 2020).</w:t>
      </w:r>
    </w:p>
  </w:footnote>
  <w:footnote w:id="30">
    <w:p w:rsidR="007564E5" w:rsidRDefault="007564E5">
      <w:pPr>
        <w:pStyle w:val="FootnoteText"/>
      </w:pPr>
      <w:r>
        <w:rPr>
          <w:rStyle w:val="FootnoteReference"/>
        </w:rPr>
        <w:footnoteRef/>
      </w:r>
      <w:r>
        <w:t xml:space="preserve"> </w:t>
      </w:r>
      <w:r w:rsidR="00702976">
        <w:t>974 F. Supp. 1288</w:t>
      </w:r>
      <w:r w:rsidR="00BC681C">
        <w:t xml:space="preserve"> (affirmed by 9</w:t>
      </w:r>
      <w:r w:rsidR="00BC681C" w:rsidRPr="00BC681C">
        <w:rPr>
          <w:vertAlign w:val="superscript"/>
        </w:rPr>
        <w:t>th</w:t>
      </w:r>
      <w:r w:rsidR="00BC681C">
        <w:t xml:space="preserve"> Cir, then affirmation withdrawn, no new opinion issued due to statutory changes by the government, plaintiff then amended petition and returned to the N. Dist. CA </w:t>
      </w:r>
      <w:r w:rsidR="0063301F">
        <w:t>attacking</w:t>
      </w:r>
      <w:r w:rsidR="00BC681C">
        <w:t xml:space="preserve"> th</w:t>
      </w:r>
      <w:r w:rsidR="0063301F">
        <w:t>e</w:t>
      </w:r>
      <w:r w:rsidR="00BC681C">
        <w:t xml:space="preserve"> new statutory scheme, which was denied for procedural reasons of timeliness and standing in </w:t>
      </w:r>
      <w:r w:rsidR="00BC681C" w:rsidRPr="00BC681C">
        <w:rPr>
          <w:i/>
          <w:iCs/>
        </w:rPr>
        <w:t>Bernstein v. DOC</w:t>
      </w:r>
      <w:r w:rsidR="00BC681C" w:rsidRPr="00BC681C">
        <w:t>, 2004 U.S. Dist. LEXIS 6672</w:t>
      </w:r>
      <w:r w:rsidR="00BC681C">
        <w:t>. The court’s earlier First Amendment analysis was undisturbed through the turbulent, subsequent appellate history).</w:t>
      </w:r>
    </w:p>
  </w:footnote>
  <w:footnote w:id="31">
    <w:p w:rsidR="007564E5" w:rsidRPr="00065926" w:rsidRDefault="007564E5">
      <w:pPr>
        <w:pStyle w:val="FootnoteText"/>
      </w:pPr>
      <w:r>
        <w:rPr>
          <w:rStyle w:val="FootnoteReference"/>
        </w:rPr>
        <w:footnoteRef/>
      </w:r>
      <w:r>
        <w:t xml:space="preserve"> </w:t>
      </w:r>
      <w:r w:rsidR="00065926">
        <w:rPr>
          <w:i/>
          <w:iCs/>
        </w:rPr>
        <w:t xml:space="preserve">Id. </w:t>
      </w:r>
      <w:r w:rsidR="00065926">
        <w:t>at 1293.</w:t>
      </w:r>
    </w:p>
  </w:footnote>
  <w:footnote w:id="32">
    <w:p w:rsidR="007564E5" w:rsidRPr="00065926" w:rsidRDefault="007564E5">
      <w:pPr>
        <w:pStyle w:val="FootnoteText"/>
      </w:pPr>
      <w:r>
        <w:rPr>
          <w:rStyle w:val="FootnoteReference"/>
        </w:rPr>
        <w:footnoteRef/>
      </w:r>
      <w:r>
        <w:t xml:space="preserve"> </w:t>
      </w:r>
      <w:r w:rsidR="00065926">
        <w:rPr>
          <w:i/>
          <w:iCs/>
        </w:rPr>
        <w:t>Id.</w:t>
      </w:r>
      <w:r w:rsidR="00065926">
        <w:t xml:space="preserve"> at 1291.</w:t>
      </w:r>
    </w:p>
  </w:footnote>
  <w:footnote w:id="33">
    <w:p w:rsidR="007564E5" w:rsidRPr="003620B6" w:rsidRDefault="007564E5">
      <w:pPr>
        <w:pStyle w:val="FootnoteText"/>
      </w:pPr>
      <w:r>
        <w:rPr>
          <w:rStyle w:val="FootnoteReference"/>
        </w:rPr>
        <w:footnoteRef/>
      </w:r>
      <w:r>
        <w:t xml:space="preserve"> </w:t>
      </w:r>
      <w:r w:rsidR="003620B6">
        <w:rPr>
          <w:i/>
          <w:iCs/>
        </w:rPr>
        <w:t>Id.</w:t>
      </w:r>
      <w:r w:rsidR="003620B6">
        <w:t xml:space="preserve"> at 1310.</w:t>
      </w:r>
    </w:p>
  </w:footnote>
  <w:footnote w:id="34">
    <w:p w:rsidR="007564E5" w:rsidRPr="0063301F" w:rsidRDefault="007564E5">
      <w:pPr>
        <w:pStyle w:val="FootnoteText"/>
      </w:pPr>
      <w:r>
        <w:rPr>
          <w:rStyle w:val="FootnoteReference"/>
        </w:rPr>
        <w:footnoteRef/>
      </w:r>
      <w:r>
        <w:t xml:space="preserve"> </w:t>
      </w:r>
      <w:r w:rsidR="0063301F">
        <w:rPr>
          <w:i/>
          <w:iCs/>
        </w:rPr>
        <w:t>Id.</w:t>
      </w:r>
      <w:r w:rsidR="0063301F">
        <w:t xml:space="preserve"> 1293</w:t>
      </w:r>
    </w:p>
  </w:footnote>
  <w:footnote w:id="35">
    <w:p w:rsidR="007564E5" w:rsidRPr="0063301F" w:rsidRDefault="007564E5">
      <w:pPr>
        <w:pStyle w:val="FootnoteText"/>
        <w:rPr>
          <w:i/>
          <w:iCs/>
        </w:rPr>
      </w:pPr>
      <w:r>
        <w:rPr>
          <w:rStyle w:val="FootnoteReference"/>
        </w:rPr>
        <w:footnoteRef/>
      </w:r>
      <w:r>
        <w:t xml:space="preserve"> </w:t>
      </w:r>
      <w:r w:rsidR="0063301F">
        <w:rPr>
          <w:i/>
          <w:iCs/>
        </w:rPr>
        <w:t>Id.</w:t>
      </w:r>
    </w:p>
  </w:footnote>
  <w:footnote w:id="36">
    <w:p w:rsidR="007564E5" w:rsidRPr="0063301F" w:rsidRDefault="007564E5">
      <w:pPr>
        <w:pStyle w:val="FootnoteText"/>
      </w:pPr>
      <w:r>
        <w:rPr>
          <w:rStyle w:val="FootnoteReference"/>
        </w:rPr>
        <w:footnoteRef/>
      </w:r>
      <w:r>
        <w:t xml:space="preserve"> </w:t>
      </w:r>
      <w:r w:rsidR="0063301F">
        <w:rPr>
          <w:i/>
          <w:iCs/>
        </w:rPr>
        <w:t>Richmond Newspapers v. VA</w:t>
      </w:r>
      <w:r w:rsidR="0063301F">
        <w:t xml:space="preserve">, 448 U.S. 555, 599 n.2 (1980) </w:t>
      </w:r>
      <w:r w:rsidR="0063301F">
        <w:rPr>
          <w:i/>
          <w:iCs/>
        </w:rPr>
        <w:t>citing Kleindienst v. Mandel</w:t>
      </w:r>
      <w:r w:rsidR="0063301F">
        <w:t xml:space="preserve">, 408 U.S. 753 </w:t>
      </w:r>
      <w:r w:rsidR="008707FF">
        <w:t>(1980) (affirming that the right to speak implies a freedom to listen).</w:t>
      </w:r>
    </w:p>
  </w:footnote>
  <w:footnote w:id="37">
    <w:p w:rsidR="0049092C" w:rsidRPr="00E231FD" w:rsidRDefault="0049092C">
      <w:pPr>
        <w:pStyle w:val="FootnoteText"/>
      </w:pPr>
      <w:r>
        <w:rPr>
          <w:rStyle w:val="FootnoteReference"/>
        </w:rPr>
        <w:footnoteRef/>
      </w:r>
      <w:r>
        <w:t xml:space="preserve"> </w:t>
      </w:r>
      <w:r w:rsidR="00170666" w:rsidRPr="00170666">
        <w:rPr>
          <w:i/>
          <w:iCs/>
        </w:rPr>
        <w:t>See</w:t>
      </w:r>
      <w:r w:rsidR="00170666">
        <w:rPr>
          <w:i/>
          <w:iCs/>
        </w:rPr>
        <w:t xml:space="preserve"> </w:t>
      </w:r>
      <w:r w:rsidR="00E231FD" w:rsidRPr="00170666">
        <w:rPr>
          <w:i/>
          <w:iCs/>
        </w:rPr>
        <w:t>Miranda</w:t>
      </w:r>
      <w:r w:rsidR="00E231FD">
        <w:rPr>
          <w:i/>
          <w:iCs/>
        </w:rPr>
        <w:t xml:space="preserve"> v. Arizona</w:t>
      </w:r>
      <w:r w:rsidR="00E231FD">
        <w:t>, 384 U.S. 436, 476 (1966)</w:t>
      </w:r>
      <w:r w:rsidR="00170666">
        <w:t xml:space="preserve"> and </w:t>
      </w:r>
      <w:r w:rsidR="00170666">
        <w:rPr>
          <w:i/>
          <w:iCs/>
        </w:rPr>
        <w:t>Rhode Island v. Innis</w:t>
      </w:r>
      <w:r w:rsidR="00170666">
        <w:t xml:space="preserve">, 446 U.S. 291 (1980) </w:t>
      </w:r>
      <w:r w:rsidR="00E231FD">
        <w:t xml:space="preserve"> (holding that </w:t>
      </w:r>
      <w:r w:rsidR="00170666">
        <w:t>t</w:t>
      </w:r>
      <w:r w:rsidR="00E231FD" w:rsidRPr="00E231FD">
        <w:t>he privilege against self-incrimination protects an accused from being compelled to incriminate himself in any manner, and does not distinguish degrees of incrimination</w:t>
      </w:r>
      <w:r w:rsidR="00E231FD">
        <w:t>).</w:t>
      </w:r>
    </w:p>
  </w:footnote>
  <w:footnote w:id="38">
    <w:p w:rsidR="0049092C" w:rsidRPr="00170666" w:rsidRDefault="0049092C">
      <w:pPr>
        <w:pStyle w:val="FootnoteText"/>
      </w:pPr>
      <w:r>
        <w:rPr>
          <w:rStyle w:val="FootnoteReference"/>
        </w:rPr>
        <w:footnoteRef/>
      </w:r>
      <w:r w:rsidR="00170666">
        <w:t xml:space="preserve"> </w:t>
      </w:r>
      <w:r w:rsidR="00170666">
        <w:rPr>
          <w:i/>
          <w:iCs/>
        </w:rPr>
        <w:t>Kastigar v. U.S.</w:t>
      </w:r>
      <w:r w:rsidR="00170666">
        <w:t xml:space="preserve">, 406 U.S. 441 (1972) (holding that </w:t>
      </w:r>
      <w:r w:rsidR="00170666" w:rsidRPr="00170666">
        <w:t>The Fifth Amendment privilege against self-incrimination protects against any disclosures which the witness reasonably believes could be used in a criminal prosecution or could lead to other evidence that might be so used.</w:t>
      </w:r>
      <w:r w:rsidR="00170666">
        <w:t>)</w:t>
      </w:r>
    </w:p>
  </w:footnote>
  <w:footnote w:id="39">
    <w:p w:rsidR="00170666" w:rsidRPr="00170666" w:rsidRDefault="00170666">
      <w:pPr>
        <w:pStyle w:val="FootnoteText"/>
      </w:pPr>
      <w:r>
        <w:rPr>
          <w:rStyle w:val="FootnoteReference"/>
        </w:rPr>
        <w:footnoteRef/>
      </w:r>
      <w:r>
        <w:t xml:space="preserve"> </w:t>
      </w:r>
      <w:r>
        <w:rPr>
          <w:i/>
          <w:iCs/>
        </w:rPr>
        <w:t>Doe v. U.S.</w:t>
      </w:r>
      <w:r>
        <w:t xml:space="preserve">, 487 U.S. 201, 210-211 (1988) (stating that </w:t>
      </w:r>
      <w:r w:rsidRPr="00170666">
        <w:t>It is the "extortion of information from the accused," the attempt to force him "to disclose the contents of his own mind," that implicates the Self-Incrimination Clause</w:t>
      </w:r>
      <w:r>
        <w:t>).</w:t>
      </w:r>
    </w:p>
  </w:footnote>
  <w:footnote w:id="40">
    <w:p w:rsidR="006F1EA0" w:rsidRDefault="006F1EA0">
      <w:pPr>
        <w:pStyle w:val="FootnoteText"/>
      </w:pPr>
      <w:r>
        <w:rPr>
          <w:rStyle w:val="FootnoteReference"/>
        </w:rPr>
        <w:footnoteRef/>
      </w:r>
      <w:r>
        <w:t xml:space="preserve"> </w:t>
      </w:r>
      <w:r w:rsidR="001B234C" w:rsidRPr="001B234C">
        <w:t>377 U.S. 201</w:t>
      </w:r>
      <w:r w:rsidR="001B234C">
        <w:t xml:space="preserve"> (1964).</w:t>
      </w:r>
    </w:p>
  </w:footnote>
  <w:footnote w:id="41">
    <w:p w:rsidR="00BB453A" w:rsidRPr="007B37EF" w:rsidRDefault="00BB453A">
      <w:pPr>
        <w:pStyle w:val="FootnoteText"/>
      </w:pPr>
      <w:r>
        <w:rPr>
          <w:rStyle w:val="FootnoteReference"/>
        </w:rPr>
        <w:footnoteRef/>
      </w:r>
      <w:r>
        <w:t xml:space="preserve"> </w:t>
      </w:r>
      <w:r w:rsidR="007B37EF">
        <w:rPr>
          <w:i/>
          <w:iCs/>
        </w:rPr>
        <w:t>People v. Gregor</w:t>
      </w:r>
      <w:r w:rsidR="007B37EF">
        <w:t xml:space="preserve"> (unpublished), </w:t>
      </w:r>
      <w:r w:rsidR="007B37EF" w:rsidRPr="007B37EF">
        <w:t>2018 Cal. App. Unpub. LEXIS 3306</w:t>
      </w:r>
      <w:r w:rsidR="007B37EF">
        <w:t xml:space="preserve"> </w:t>
      </w:r>
      <w:r w:rsidR="007B37EF">
        <w:rPr>
          <w:i/>
          <w:iCs/>
        </w:rPr>
        <w:t>citing</w:t>
      </w:r>
      <w:r w:rsidR="007B37EF">
        <w:t xml:space="preserve"> </w:t>
      </w:r>
      <w:r w:rsidR="007B37EF">
        <w:rPr>
          <w:i/>
          <w:iCs/>
        </w:rPr>
        <w:t>People v. Valdivia</w:t>
      </w:r>
      <w:r w:rsidR="007B37EF">
        <w:t>, 16 Cal. App. 5</w:t>
      </w:r>
      <w:r w:rsidR="007B37EF" w:rsidRPr="007B37EF">
        <w:rPr>
          <w:vertAlign w:val="superscript"/>
        </w:rPr>
        <w:t>th</w:t>
      </w:r>
      <w:r w:rsidR="007B37EF">
        <w:t xml:space="preserve"> 1130, 1142 (2017) (finding a password surrender probation condition overbroad); </w:t>
      </w:r>
      <w:r w:rsidR="007B37EF">
        <w:rPr>
          <w:i/>
          <w:iCs/>
        </w:rPr>
        <w:t>also citing</w:t>
      </w:r>
      <w:r w:rsidR="007B37EF">
        <w:t xml:space="preserve"> </w:t>
      </w:r>
      <w:r w:rsidR="007B37EF">
        <w:rPr>
          <w:i/>
          <w:iCs/>
        </w:rPr>
        <w:t>People v. Appleton</w:t>
      </w:r>
      <w:r w:rsidR="007B37EF">
        <w:t>, 245 Cal. App. 4</w:t>
      </w:r>
      <w:r w:rsidR="007B37EF" w:rsidRPr="007B37EF">
        <w:rPr>
          <w:vertAlign w:val="superscript"/>
        </w:rPr>
        <w:t>th</w:t>
      </w:r>
      <w:r w:rsidR="007B37EF">
        <w:t xml:space="preserve"> 717, 724 (2016) (same).</w:t>
      </w:r>
    </w:p>
  </w:footnote>
  <w:footnote w:id="42">
    <w:p w:rsidR="00BB453A" w:rsidRPr="00BB453A" w:rsidRDefault="00BB453A">
      <w:pPr>
        <w:pStyle w:val="FootnoteText"/>
      </w:pPr>
      <w:r>
        <w:rPr>
          <w:rStyle w:val="FootnoteReference"/>
        </w:rPr>
        <w:footnoteRef/>
      </w:r>
      <w:r>
        <w:t xml:space="preserve"> </w:t>
      </w:r>
      <w:r>
        <w:rPr>
          <w:i/>
          <w:iCs/>
        </w:rPr>
        <w:t>People v. Valdivia</w:t>
      </w:r>
      <w:r>
        <w:t>, 16 Cal. App. 5</w:t>
      </w:r>
      <w:r w:rsidRPr="00BB453A">
        <w:rPr>
          <w:vertAlign w:val="superscript"/>
        </w:rPr>
        <w:t>th</w:t>
      </w:r>
      <w:r>
        <w:t xml:space="preserve"> 1130, 1144 (3</w:t>
      </w:r>
      <w:r w:rsidRPr="00BB453A">
        <w:rPr>
          <w:vertAlign w:val="superscript"/>
        </w:rPr>
        <w:t>rd</w:t>
      </w:r>
      <w:r>
        <w:t xml:space="preserve"> Dist.,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4E5" w:rsidRDefault="007564E5">
    <w:pPr>
      <w:rPr>
        <w:color w:val="FFFFFF" w:themeColor="background1"/>
      </w:rPr>
    </w:pPr>
    <w:r>
      <w:rPr>
        <w:noProof/>
        <w:color w:val="FFFFFF" w:themeColor="background1"/>
        <w:lang w:eastAsia="en-US"/>
      </w:rPr>
      <mc:AlternateContent>
        <mc:Choice Requires="wpg">
          <w:drawing>
            <wp:anchor distT="0" distB="0" distL="114300" distR="114300" simplePos="0" relativeHeight="251658240" behindDoc="1" locked="0" layoutInCell="1" allowOverlap="1" wp14:anchorId="20751C47" wp14:editId="47CA9B65">
              <wp:simplePos x="0" y="0"/>
              <wp:positionH relativeFrom="page">
                <wp:posOffset>822960</wp:posOffset>
              </wp:positionH>
              <wp:positionV relativeFrom="page">
                <wp:align>top</wp:align>
              </wp:positionV>
              <wp:extent cx="6025896" cy="10058400"/>
              <wp:effectExtent l="0" t="0" r="13335" b="19050"/>
              <wp:wrapNone/>
              <wp:docPr id="5" name="Group 5" descr="Left and right page borders"/>
              <wp:cNvGraphicFramePr/>
              <a:graphic xmlns:a="http://schemas.openxmlformats.org/drawingml/2006/main">
                <a:graphicData uri="http://schemas.microsoft.com/office/word/2010/wordprocessingGroup">
                  <wpg:wgp>
                    <wpg:cNvGrpSpPr/>
                    <wpg:grpSpPr>
                      <a:xfrm>
                        <a:off x="0" y="0"/>
                        <a:ext cx="6025896" cy="10058400"/>
                        <a:chOff x="0" y="0"/>
                        <a:chExt cx="6029865" cy="10058400"/>
                      </a:xfrm>
                    </wpg:grpSpPr>
                    <wps:wsp>
                      <wps:cNvPr id="1" name="LeftBorder1"/>
                      <wps:cNvCnPr>
                        <a:cxnSpLocks noChangeShapeType="1"/>
                      </wps:cNvCnPr>
                      <wps:spPr bwMode="auto">
                        <a:xfrm>
                          <a:off x="51759"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LeftBorder2"/>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 name="RightBorder"/>
                      <wps:cNvCnPr>
                        <a:cxnSpLocks noChangeShapeType="1"/>
                      </wps:cNvCnPr>
                      <wps:spPr bwMode="auto">
                        <a:xfrm>
                          <a:off x="6029865"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w:pict>
            <v:group w14:anchorId="2338D0F2" id="Group 5" o:spid="_x0000_s1026" alt="Left and right page borders" style="position:absolute;margin-left:64.8pt;margin-top:0;width:474.5pt;height:11in;z-index:-251658240;mso-position-horizontal-relative:page;mso-position-vertical:top;mso-position-vertical-relative:page;mso-width-relative:margin" coordsize="60298,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PkwwIAAMoKAAAOAAAAZHJzL2Uyb0RvYy54bWzslt1u0zAUx++ReAfL912SLilttHSCpt3N&#10;gImNB3Bt50MktmV7TSvEu3PspN3WgoSGmIS0XCT+PDn+nf+xfXG5bRu04drUUmQ4Ogsx4oJKVosy&#10;w1/vVqMpRsYSwUgjBc/wjht8OX/75qJTKR/LSjaMawRGhEk7leHKWpUGgaEVb4k5k4oL6CykbomF&#10;qi4DpkkH1tsmGIfhJOikZkpLyo2B1rzvxHNvvyg4tZ+LwnCLmgyDb9a/tX+v3TuYX5C01ERVNR3c&#10;IM/woiW1gJ8eTOXEEnSv6xNTbU21NLKwZ1S2gSyKmnK/BlhNFB6t5krLe+XXUqZdqQ6YAO0Rp2eb&#10;pZ82NxrVLMMJRoK0ECL/VwRVxg0FVNe8sAgiiHRdVhYpUnK0BuoQdIevU2UKVq60ulU3emgo+5oj&#10;si10676wVrT14HcH8HxrEYXGSThOprMJRhT6ojBMpnE4xIZWEMCTibRaPkydTSfg7fHUYP/rwHl4&#10;cKhTIDTzwNL8HcvbiijuQ2QchYFltGfp2H3wrKKelR+1EDfaIaFbcauuJf1mkJCLioiSe3t3OwVx&#10;8DPA+UdTXMUAZbTuPkoGY8i9lV53R5ST6F0yw+iUNOTAb0GRVGljr7hskStkuKmFWxtJyebaWAgt&#10;MN0Pcc1Cruqm8SnUCNRleJaMEz/ByKZmrtMNM7pcLxqNNsQloX8cDDD2ZBiIXTBvrOKELYeyJXXT&#10;l2F8I5w9UA24M5T6LPs+C2fL6XIaj+LxZDmKwzwfvV8t4tFkBSTy83yxyKMfzrUoTquaMS6cd/uM&#10;j+I/U8Gw9/S5esj5A4bgqXW/RHB2//VO+4C6GLrMMelasp3PGt8Owuyb/7lCx6cKHb+oQkGIr+p8&#10;Veev98/zvTq/uCOn30BfVJ1wIPWnyqtG/0ON+hMfLkx+4x0ud+5G9rgO5cdX0PlPAAAA//8DAFBL&#10;AwQUAAYACAAAACEAc03svN8AAAAKAQAADwAAAGRycy9kb3ducmV2LnhtbEyPQU/CQBCF7yb+h82Y&#10;eJPdomCt3RJC1BMhEUwIt6Ed2obubtNd2vLvHU56m5f38uZ76WI0jeip87WzGqKJAkE2d0VtSw0/&#10;u8+nGIQPaAtsnCUNV/KwyO7vUkwKN9hv6rehFFxifYIaqhDaREqfV2TQT1xLlr2T6wwGll0piw4H&#10;LjeNnCo1lwZryx8qbGlVUX7eXoyGrwGH5XP00a/Pp9X1sJtt9uuItH58GJfvIAKN4S8MN3xGh4yZ&#10;ju5iCy8a1tO3OUc18KKbrV5j1ke+ZvGLApml8v+E7BcAAP//AwBQSwECLQAUAAYACAAAACEAtoM4&#10;kv4AAADhAQAAEwAAAAAAAAAAAAAAAAAAAAAAW0NvbnRlbnRfVHlwZXNdLnhtbFBLAQItABQABgAI&#10;AAAAIQA4/SH/1gAAAJQBAAALAAAAAAAAAAAAAAAAAC8BAABfcmVscy8ucmVsc1BLAQItABQABgAI&#10;AAAAIQD1/DPkwwIAAMoKAAAOAAAAAAAAAAAAAAAAAC4CAABkcnMvZTJvRG9jLnhtbFBLAQItABQA&#10;BgAIAAAAIQBzTey83wAAAAoBAAAPAAAAAAAAAAAAAAAAAB0FAABkcnMvZG93bnJldi54bWxQSwUG&#10;AAAAAAQABADzAAAAKQYAAAAA&#10;">
              <v:line id="LeftBorder1" o:spid="_x0000_s1027" style="position:absolute;visibility:visible;mso-wrap-style:square" from="517,0" to="517,100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xcwwgAAANoAAAAPAAAAZHJzL2Rvd25yZXYueG1sRE9Na8JA&#10;EL0L/odlhN50YwuhRFcRpaA9lGoFPY7ZMYlmZ8PuNkn/fVco9DQ83ufMl72pRUvOV5YVTCcJCOLc&#10;6ooLBcevt/ErCB+QNdaWScEPeVguhoM5Ztp2vKf2EAoRQ9hnqKAMocmk9HlJBv3ENsSRu1pnMETo&#10;CqkddjHc1PI5SVJpsOLYUGJD65Ly++HbKPh4+Uzb1e5925926SXf7C/nW+eUehr1qxmIQH34F/+5&#10;tzrOh8crjysXvwAAAP//AwBQSwECLQAUAAYACAAAACEA2+H2y+4AAACFAQAAEwAAAAAAAAAAAAAA&#10;AAAAAAAAW0NvbnRlbnRfVHlwZXNdLnhtbFBLAQItABQABgAIAAAAIQBa9CxbvwAAABUBAAALAAAA&#10;AAAAAAAAAAAAAB8BAABfcmVscy8ucmVsc1BLAQItABQABgAIAAAAIQCOLxcwwgAAANoAAAAPAAAA&#10;AAAAAAAAAAAAAAcCAABkcnMvZG93bnJldi54bWxQSwUGAAAAAAMAAwC3AAAA9gIAAAAA&#10;"/>
              <v:line id="LeftBorder2" o:spid="_x0000_s1028" style="position:absolute;visibility:visible;mso-wrap-style:square" from="0,0" to="0,100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HxAAAANoAAAAPAAAAZHJzL2Rvd25yZXYueG1sRI9Ba8JA&#10;FITvgv9heUJvutFCKNFVRCloD6VaQY/P7DOJZt+G3W2S/vtuodDjMDPfMItVb2rRkvOVZQXTSQKC&#10;OLe64kLB6fN1/ALCB2SNtWVS8E0eVsvhYIGZth0fqD2GQkQI+wwVlCE0mZQ+L8mgn9iGOHo36wyG&#10;KF0htcMuwk0tZ0mSSoMVx4USG9qUlD+OX0bB+/NH2q73b7v+vE+v+fZwvdw7p9TTqF/PQQTqw3/4&#10;r73TCmbweyXeALn8AQAA//8DAFBLAQItABQABgAIAAAAIQDb4fbL7gAAAIUBAAATAAAAAAAAAAAA&#10;AAAAAAAAAABbQ29udGVudF9UeXBlc10ueG1sUEsBAi0AFAAGAAgAAAAhAFr0LFu/AAAAFQEAAAsA&#10;AAAAAAAAAAAAAAAAHwEAAF9yZWxzLy5yZWxzUEsBAi0AFAAGAAgAAAAhAH79iUfEAAAA2gAAAA8A&#10;AAAAAAAAAAAAAAAABwIAAGRycy9kb3ducmV2LnhtbFBLBQYAAAAAAwADALcAAAD4AgAAAAA=&#10;"/>
              <v:line id="RightBorder" o:spid="_x0000_s1029" style="position:absolute;visibility:visible;mso-wrap-style:square" from="60298,0" to="60298,100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w10:wrap anchorx="page" anchory="page"/>
            </v:group>
          </w:pict>
        </mc:Fallback>
      </mc:AlternateContent>
    </w:r>
    <w:r>
      <w:rPr>
        <w:noProof/>
        <w:color w:val="FFFFFF" w:themeColor="background1"/>
        <w:lang w:eastAsia="en-US"/>
      </w:rPr>
      <mc:AlternateContent>
        <mc:Choice Requires="wps">
          <w:drawing>
            <wp:anchor distT="0" distB="0" distL="114300" distR="114300" simplePos="0" relativeHeight="251659264" behindDoc="1" locked="1" layoutInCell="1" allowOverlap="1" wp14:anchorId="42B85618" wp14:editId="34CBBFD8">
              <wp:simplePos x="0" y="0"/>
              <wp:positionH relativeFrom="page">
                <wp:posOffset>274320</wp:posOffset>
              </wp:positionH>
              <wp:positionV relativeFrom="page">
                <wp:posOffset>914400</wp:posOffset>
              </wp:positionV>
              <wp:extent cx="457200" cy="8138160"/>
              <wp:effectExtent l="0" t="0" r="0" b="0"/>
              <wp:wrapNone/>
              <wp:docPr id="4" name="LineNumbers" descr="Line numbers from 1 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138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64E5" w:rsidRDefault="007564E5">
                          <w:pPr>
                            <w:pStyle w:val="LineNumbers"/>
                          </w:pPr>
                          <w:r>
                            <w:t>1</w:t>
                          </w:r>
                        </w:p>
                        <w:p w:rsidR="007564E5" w:rsidRDefault="007564E5">
                          <w:pPr>
                            <w:pStyle w:val="LineNumbers"/>
                          </w:pPr>
                          <w:r>
                            <w:t>2</w:t>
                          </w:r>
                        </w:p>
                        <w:p w:rsidR="007564E5" w:rsidRDefault="007564E5">
                          <w:pPr>
                            <w:pStyle w:val="LineNumbers"/>
                          </w:pPr>
                          <w:r>
                            <w:t>3</w:t>
                          </w:r>
                        </w:p>
                        <w:p w:rsidR="007564E5" w:rsidRDefault="007564E5">
                          <w:pPr>
                            <w:pStyle w:val="LineNumbers"/>
                          </w:pPr>
                          <w:r>
                            <w:t>4</w:t>
                          </w:r>
                        </w:p>
                        <w:p w:rsidR="007564E5" w:rsidRDefault="007564E5">
                          <w:pPr>
                            <w:pStyle w:val="LineNumbers"/>
                          </w:pPr>
                          <w:r>
                            <w:t>5</w:t>
                          </w:r>
                        </w:p>
                        <w:p w:rsidR="007564E5" w:rsidRDefault="007564E5">
                          <w:pPr>
                            <w:pStyle w:val="LineNumbers"/>
                          </w:pPr>
                          <w:r>
                            <w:t>6</w:t>
                          </w:r>
                        </w:p>
                        <w:p w:rsidR="007564E5" w:rsidRDefault="007564E5">
                          <w:pPr>
                            <w:pStyle w:val="LineNumbers"/>
                          </w:pPr>
                          <w:r>
                            <w:t>7</w:t>
                          </w:r>
                        </w:p>
                        <w:p w:rsidR="007564E5" w:rsidRDefault="007564E5">
                          <w:pPr>
                            <w:pStyle w:val="LineNumbers"/>
                          </w:pPr>
                          <w:r>
                            <w:t>8</w:t>
                          </w:r>
                        </w:p>
                        <w:p w:rsidR="007564E5" w:rsidRDefault="007564E5">
                          <w:pPr>
                            <w:pStyle w:val="LineNumbers"/>
                          </w:pPr>
                          <w:r>
                            <w:t>9</w:t>
                          </w:r>
                        </w:p>
                        <w:p w:rsidR="007564E5" w:rsidRDefault="007564E5">
                          <w:pPr>
                            <w:pStyle w:val="LineNumbers"/>
                          </w:pPr>
                          <w:r>
                            <w:t>10</w:t>
                          </w:r>
                        </w:p>
                        <w:p w:rsidR="007564E5" w:rsidRDefault="007564E5">
                          <w:pPr>
                            <w:pStyle w:val="LineNumbers"/>
                          </w:pPr>
                          <w:r>
                            <w:t>11</w:t>
                          </w:r>
                        </w:p>
                        <w:p w:rsidR="007564E5" w:rsidRDefault="007564E5">
                          <w:pPr>
                            <w:pStyle w:val="LineNumbers"/>
                          </w:pPr>
                          <w:r>
                            <w:t>12</w:t>
                          </w:r>
                        </w:p>
                        <w:p w:rsidR="007564E5" w:rsidRDefault="007564E5">
                          <w:pPr>
                            <w:pStyle w:val="LineNumbers"/>
                          </w:pPr>
                          <w:r>
                            <w:t>13</w:t>
                          </w:r>
                        </w:p>
                        <w:p w:rsidR="007564E5" w:rsidRDefault="007564E5">
                          <w:pPr>
                            <w:pStyle w:val="LineNumbers"/>
                          </w:pPr>
                          <w:r>
                            <w:t>14</w:t>
                          </w:r>
                        </w:p>
                        <w:p w:rsidR="007564E5" w:rsidRDefault="007564E5">
                          <w:pPr>
                            <w:pStyle w:val="LineNumbers"/>
                          </w:pPr>
                          <w:r>
                            <w:t>15</w:t>
                          </w:r>
                        </w:p>
                        <w:p w:rsidR="007564E5" w:rsidRDefault="007564E5">
                          <w:pPr>
                            <w:pStyle w:val="LineNumbers"/>
                          </w:pPr>
                          <w:r>
                            <w:t>16</w:t>
                          </w:r>
                        </w:p>
                        <w:p w:rsidR="007564E5" w:rsidRDefault="007564E5">
                          <w:pPr>
                            <w:pStyle w:val="LineNumbers"/>
                          </w:pPr>
                          <w:r>
                            <w:t>17</w:t>
                          </w:r>
                        </w:p>
                        <w:p w:rsidR="007564E5" w:rsidRDefault="007564E5">
                          <w:pPr>
                            <w:pStyle w:val="LineNumbers"/>
                          </w:pPr>
                          <w:r>
                            <w:t>18</w:t>
                          </w:r>
                        </w:p>
                        <w:p w:rsidR="007564E5" w:rsidRDefault="007564E5">
                          <w:pPr>
                            <w:pStyle w:val="LineNumbers"/>
                          </w:pPr>
                          <w:r>
                            <w:t>19</w:t>
                          </w:r>
                        </w:p>
                        <w:p w:rsidR="007564E5" w:rsidRDefault="007564E5">
                          <w:pPr>
                            <w:pStyle w:val="LineNumbers"/>
                          </w:pPr>
                          <w:r>
                            <w:t>20</w:t>
                          </w:r>
                        </w:p>
                        <w:p w:rsidR="007564E5" w:rsidRDefault="007564E5">
                          <w:pPr>
                            <w:pStyle w:val="LineNumbers"/>
                          </w:pPr>
                          <w:r>
                            <w:t>21</w:t>
                          </w:r>
                        </w:p>
                        <w:p w:rsidR="007564E5" w:rsidRDefault="007564E5">
                          <w:pPr>
                            <w:pStyle w:val="LineNumbers"/>
                          </w:pPr>
                          <w:r>
                            <w:t>22</w:t>
                          </w:r>
                        </w:p>
                        <w:p w:rsidR="007564E5" w:rsidRDefault="007564E5">
                          <w:pPr>
                            <w:pStyle w:val="LineNumbers"/>
                          </w:pPr>
                          <w:r>
                            <w:t>23</w:t>
                          </w:r>
                        </w:p>
                        <w:p w:rsidR="007564E5" w:rsidRDefault="007564E5">
                          <w:pPr>
                            <w:pStyle w:val="LineNumbers"/>
                          </w:pPr>
                          <w:r>
                            <w:t>24</w:t>
                          </w:r>
                        </w:p>
                        <w:p w:rsidR="007564E5" w:rsidRDefault="007564E5">
                          <w:pPr>
                            <w:pStyle w:val="LineNumbers"/>
                          </w:pPr>
                          <w:r>
                            <w:t>25</w:t>
                          </w:r>
                        </w:p>
                        <w:p w:rsidR="007564E5" w:rsidRDefault="007564E5">
                          <w:pPr>
                            <w:pStyle w:val="LineNumbers"/>
                          </w:pPr>
                          <w:r>
                            <w:t>26</w:t>
                          </w:r>
                        </w:p>
                        <w:p w:rsidR="007564E5" w:rsidRDefault="007564E5">
                          <w:pPr>
                            <w:pStyle w:val="LineNumbers"/>
                          </w:pPr>
                          <w:r>
                            <w:t>27</w:t>
                          </w:r>
                        </w:p>
                        <w:p w:rsidR="007564E5" w:rsidRDefault="007564E5">
                          <w:pPr>
                            <w:pStyle w:val="LineNumbers"/>
                          </w:pPr>
                          <w:r>
                            <w:t>28</w:t>
                          </w:r>
                        </w:p>
                        <w:p w:rsidR="007564E5" w:rsidRDefault="007564E5">
                          <w:pPr>
                            <w:pStyle w:val="LineNumb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B85618" id="_x0000_t202" coordsize="21600,21600" o:spt="202" path="m,l,21600r21600,l21600,xe">
              <v:stroke joinstyle="miter"/>
              <v:path gradientshapeok="t" o:connecttype="rect"/>
            </v:shapetype>
            <v:shape id="LineNumbers" o:spid="_x0000_s1026" type="#_x0000_t202" alt="Line numbers from 1 to 28" style="position:absolute;left:0;text-align:left;margin-left:21.6pt;margin-top:1in;width:36pt;height:640.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LEShwIAABYFAAAOAAAAZHJzL2Uyb0RvYy54bWysVG1v0zAQ/o7Ef7D8vUtS0q6Jmk5rRxHS&#10;GEiDH+DYTmPhl2C7TQbiv3N22m4MkBAiH5zz2X58d89zXl4NSqIDt04YXeHsIsWIa2qY0LsKf/q4&#10;nSwwcp5oRqTRvMIP3OGr1csXy74r+dS0RjJuEYBoV/ZdhVvvuzJJHG25Iu7CdFzDYmOsIh6mdpcw&#10;S3pAVzKZpuk86Y1lnTWUOwfem3ERryJ+03Dq3zeN4x7JCkNsPo42jnUYk9WSlDtLulbQYxjkH6JQ&#10;RGi49Ax1QzxBeyt+gVKCWuNM4y+oUYlpGkF5zAGyydJn2dy3pOMxFyiO685lcv8Plt4dPlgkWIVz&#10;jDRRQNGt0Pxur2ogFSPGHYVyBR/SoxM11iiUIW/QdBEK2HeuBJz7DpD8sDYDCCEWw3W3hn52SJtN&#10;S/SOX1tr+pYTBglk4WTy5OiI4wJI3b8zDCIhe28i0NBYFaoL9UKADkQ+nMnjg0cUnPnsEgSBEYWl&#10;RfZqkc0juwkpT6c76/wbDrEHo8IWxBHRyeHW+RANKU9bwmXOSMG2Qso4sbt6Iy06EBDSNn4xgWfb&#10;pA6btQnHRsTRA0HCHWEthBuF8a3Ipnm6nhaT7XxxOcm3+WxSXKaLSZoV62Ke5kV+s/0eAszyshWM&#10;cR1ZGHsFnH8ngmO7jPKKMkV9hYvZdDZS9Mck0/j9LkklPPSsFAoKfd5EykDsa80gbVJ6IuRoJz+H&#10;H6sMNTj9Y1WiDALzowb8UA+AErRRG/YAgrAG+AJu4aEBozX2K0Y9NG2F3Zc9sRwj+VaDqEKHnwx7&#10;MuqTQTSFoxX2GI3mxseXYKTsGsTWiKiDx5uPEoXmiwEfH4rQ3U/ncdfjc7b6AQAA//8DAFBLAwQU&#10;AAYACAAAACEA7WOpb94AAAALAQAADwAAAGRycy9kb3ducmV2LnhtbEyPQU+DQBCF7yb+h82YeDF2&#10;KVJikKXRVm96aG163rIjENlZwi6F/nuHkz3Om5f3vpevJ9uKM/a+caRguYhAIJXONFQpOHx/PD6D&#10;8EGT0a0jVHBBD+vi9ibXmXEj7fC8D5XgEPKZVlCH0GVS+rJGq/3CdUj8+3G91YHPvpKm1yOH21bG&#10;UZRKqxvihlp3uKmx/N0PVkG67YdxR5uH7eH9U391VXx8uxyVur+bXl9ABJzCvxlmfEaHgplObiDj&#10;RasgeYrZyXqS8KbZsFyxcpqVeJWCLHJ5vaH4AwAA//8DAFBLAQItABQABgAIAAAAIQC2gziS/gAA&#10;AOEBAAATAAAAAAAAAAAAAAAAAAAAAABbQ29udGVudF9UeXBlc10ueG1sUEsBAi0AFAAGAAgAAAAh&#10;ADj9If/WAAAAlAEAAAsAAAAAAAAAAAAAAAAALwEAAF9yZWxzLy5yZWxzUEsBAi0AFAAGAAgAAAAh&#10;AMgosRKHAgAAFgUAAA4AAAAAAAAAAAAAAAAALgIAAGRycy9lMm9Eb2MueG1sUEsBAi0AFAAGAAgA&#10;AAAhAO1jqW/eAAAACwEAAA8AAAAAAAAAAAAAAAAA4QQAAGRycy9kb3ducmV2LnhtbFBLBQYAAAAA&#10;BAAEAPMAAADsBQAAAAA=&#10;" stroked="f">
              <v:textbox inset="0,0,0,0">
                <w:txbxContent>
                  <w:p w:rsidR="007564E5" w:rsidRDefault="007564E5">
                    <w:pPr>
                      <w:pStyle w:val="LineNumbers"/>
                    </w:pPr>
                    <w:r>
                      <w:t>1</w:t>
                    </w:r>
                  </w:p>
                  <w:p w:rsidR="007564E5" w:rsidRDefault="007564E5">
                    <w:pPr>
                      <w:pStyle w:val="LineNumbers"/>
                    </w:pPr>
                    <w:r>
                      <w:t>2</w:t>
                    </w:r>
                  </w:p>
                  <w:p w:rsidR="007564E5" w:rsidRDefault="007564E5">
                    <w:pPr>
                      <w:pStyle w:val="LineNumbers"/>
                    </w:pPr>
                    <w:r>
                      <w:t>3</w:t>
                    </w:r>
                  </w:p>
                  <w:p w:rsidR="007564E5" w:rsidRDefault="007564E5">
                    <w:pPr>
                      <w:pStyle w:val="LineNumbers"/>
                    </w:pPr>
                    <w:r>
                      <w:t>4</w:t>
                    </w:r>
                  </w:p>
                  <w:p w:rsidR="007564E5" w:rsidRDefault="007564E5">
                    <w:pPr>
                      <w:pStyle w:val="LineNumbers"/>
                    </w:pPr>
                    <w:r>
                      <w:t>5</w:t>
                    </w:r>
                  </w:p>
                  <w:p w:rsidR="007564E5" w:rsidRDefault="007564E5">
                    <w:pPr>
                      <w:pStyle w:val="LineNumbers"/>
                    </w:pPr>
                    <w:r>
                      <w:t>6</w:t>
                    </w:r>
                  </w:p>
                  <w:p w:rsidR="007564E5" w:rsidRDefault="007564E5">
                    <w:pPr>
                      <w:pStyle w:val="LineNumbers"/>
                    </w:pPr>
                    <w:r>
                      <w:t>7</w:t>
                    </w:r>
                  </w:p>
                  <w:p w:rsidR="007564E5" w:rsidRDefault="007564E5">
                    <w:pPr>
                      <w:pStyle w:val="LineNumbers"/>
                    </w:pPr>
                    <w:r>
                      <w:t>8</w:t>
                    </w:r>
                  </w:p>
                  <w:p w:rsidR="007564E5" w:rsidRDefault="007564E5">
                    <w:pPr>
                      <w:pStyle w:val="LineNumbers"/>
                    </w:pPr>
                    <w:r>
                      <w:t>9</w:t>
                    </w:r>
                  </w:p>
                  <w:p w:rsidR="007564E5" w:rsidRDefault="007564E5">
                    <w:pPr>
                      <w:pStyle w:val="LineNumbers"/>
                    </w:pPr>
                    <w:r>
                      <w:t>10</w:t>
                    </w:r>
                  </w:p>
                  <w:p w:rsidR="007564E5" w:rsidRDefault="007564E5">
                    <w:pPr>
                      <w:pStyle w:val="LineNumbers"/>
                    </w:pPr>
                    <w:r>
                      <w:t>11</w:t>
                    </w:r>
                  </w:p>
                  <w:p w:rsidR="007564E5" w:rsidRDefault="007564E5">
                    <w:pPr>
                      <w:pStyle w:val="LineNumbers"/>
                    </w:pPr>
                    <w:r>
                      <w:t>12</w:t>
                    </w:r>
                  </w:p>
                  <w:p w:rsidR="007564E5" w:rsidRDefault="007564E5">
                    <w:pPr>
                      <w:pStyle w:val="LineNumbers"/>
                    </w:pPr>
                    <w:r>
                      <w:t>13</w:t>
                    </w:r>
                  </w:p>
                  <w:p w:rsidR="007564E5" w:rsidRDefault="007564E5">
                    <w:pPr>
                      <w:pStyle w:val="LineNumbers"/>
                    </w:pPr>
                    <w:r>
                      <w:t>14</w:t>
                    </w:r>
                  </w:p>
                  <w:p w:rsidR="007564E5" w:rsidRDefault="007564E5">
                    <w:pPr>
                      <w:pStyle w:val="LineNumbers"/>
                    </w:pPr>
                    <w:r>
                      <w:t>15</w:t>
                    </w:r>
                  </w:p>
                  <w:p w:rsidR="007564E5" w:rsidRDefault="007564E5">
                    <w:pPr>
                      <w:pStyle w:val="LineNumbers"/>
                    </w:pPr>
                    <w:r>
                      <w:t>16</w:t>
                    </w:r>
                  </w:p>
                  <w:p w:rsidR="007564E5" w:rsidRDefault="007564E5">
                    <w:pPr>
                      <w:pStyle w:val="LineNumbers"/>
                    </w:pPr>
                    <w:r>
                      <w:t>17</w:t>
                    </w:r>
                  </w:p>
                  <w:p w:rsidR="007564E5" w:rsidRDefault="007564E5">
                    <w:pPr>
                      <w:pStyle w:val="LineNumbers"/>
                    </w:pPr>
                    <w:r>
                      <w:t>18</w:t>
                    </w:r>
                  </w:p>
                  <w:p w:rsidR="007564E5" w:rsidRDefault="007564E5">
                    <w:pPr>
                      <w:pStyle w:val="LineNumbers"/>
                    </w:pPr>
                    <w:r>
                      <w:t>19</w:t>
                    </w:r>
                  </w:p>
                  <w:p w:rsidR="007564E5" w:rsidRDefault="007564E5">
                    <w:pPr>
                      <w:pStyle w:val="LineNumbers"/>
                    </w:pPr>
                    <w:r>
                      <w:t>20</w:t>
                    </w:r>
                  </w:p>
                  <w:p w:rsidR="007564E5" w:rsidRDefault="007564E5">
                    <w:pPr>
                      <w:pStyle w:val="LineNumbers"/>
                    </w:pPr>
                    <w:r>
                      <w:t>21</w:t>
                    </w:r>
                  </w:p>
                  <w:p w:rsidR="007564E5" w:rsidRDefault="007564E5">
                    <w:pPr>
                      <w:pStyle w:val="LineNumbers"/>
                    </w:pPr>
                    <w:r>
                      <w:t>22</w:t>
                    </w:r>
                  </w:p>
                  <w:p w:rsidR="007564E5" w:rsidRDefault="007564E5">
                    <w:pPr>
                      <w:pStyle w:val="LineNumbers"/>
                    </w:pPr>
                    <w:r>
                      <w:t>23</w:t>
                    </w:r>
                  </w:p>
                  <w:p w:rsidR="007564E5" w:rsidRDefault="007564E5">
                    <w:pPr>
                      <w:pStyle w:val="LineNumbers"/>
                    </w:pPr>
                    <w:r>
                      <w:t>24</w:t>
                    </w:r>
                  </w:p>
                  <w:p w:rsidR="007564E5" w:rsidRDefault="007564E5">
                    <w:pPr>
                      <w:pStyle w:val="LineNumbers"/>
                    </w:pPr>
                    <w:r>
                      <w:t>25</w:t>
                    </w:r>
                  </w:p>
                  <w:p w:rsidR="007564E5" w:rsidRDefault="007564E5">
                    <w:pPr>
                      <w:pStyle w:val="LineNumbers"/>
                    </w:pPr>
                    <w:r>
                      <w:t>26</w:t>
                    </w:r>
                  </w:p>
                  <w:p w:rsidR="007564E5" w:rsidRDefault="007564E5">
                    <w:pPr>
                      <w:pStyle w:val="LineNumbers"/>
                    </w:pPr>
                    <w:r>
                      <w:t>27</w:t>
                    </w:r>
                  </w:p>
                  <w:p w:rsidR="007564E5" w:rsidRDefault="007564E5">
                    <w:pPr>
                      <w:pStyle w:val="LineNumbers"/>
                    </w:pPr>
                    <w:r>
                      <w:t>28</w:t>
                    </w:r>
                  </w:p>
                  <w:p w:rsidR="007564E5" w:rsidRDefault="007564E5">
                    <w:pPr>
                      <w:pStyle w:val="LineNumber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BC0E0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748C8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3842F2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6E4351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CAED8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9B2DCB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55AA0B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272AF1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572AA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C6B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E35E65"/>
    <w:multiLevelType w:val="hybridMultilevel"/>
    <w:tmpl w:val="E9E8F9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A4263E"/>
    <w:multiLevelType w:val="hybridMultilevel"/>
    <w:tmpl w:val="F56A6C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DD2C76"/>
    <w:multiLevelType w:val="multilevel"/>
    <w:tmpl w:val="9072CA56"/>
    <w:lvl w:ilvl="0">
      <w:start w:val="1"/>
      <w:numFmt w:val="none"/>
      <w:suff w:val="nothing"/>
      <w:lvlText w:val="%1"/>
      <w:lvlJc w:val="left"/>
      <w:pPr>
        <w:ind w:left="0" w:firstLine="0"/>
      </w:pPr>
      <w:rPr>
        <w:rFonts w:hint="default"/>
      </w:rPr>
    </w:lvl>
    <w:lvl w:ilvl="1">
      <w:start w:val="1"/>
      <w:numFmt w:val="decimal"/>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89D0F16"/>
    <w:multiLevelType w:val="hybridMultilevel"/>
    <w:tmpl w:val="E9723FDC"/>
    <w:lvl w:ilvl="0" w:tplc="6E923CB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BF97F25"/>
    <w:multiLevelType w:val="hybridMultilevel"/>
    <w:tmpl w:val="9D94AA7C"/>
    <w:lvl w:ilvl="0" w:tplc="A288DE8E">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4"/>
  </w:num>
  <w:num w:numId="13">
    <w:abstractNumId w:val="12"/>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69"/>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715"/>
    <w:rsid w:val="00001F60"/>
    <w:rsid w:val="000145F4"/>
    <w:rsid w:val="000307E2"/>
    <w:rsid w:val="00047C16"/>
    <w:rsid w:val="000578F4"/>
    <w:rsid w:val="00065926"/>
    <w:rsid w:val="0008395C"/>
    <w:rsid w:val="00091312"/>
    <w:rsid w:val="000A56C8"/>
    <w:rsid w:val="000D522D"/>
    <w:rsid w:val="000D7A70"/>
    <w:rsid w:val="000E6BB2"/>
    <w:rsid w:val="000E7B86"/>
    <w:rsid w:val="000F57B6"/>
    <w:rsid w:val="0014443A"/>
    <w:rsid w:val="0014554E"/>
    <w:rsid w:val="00170666"/>
    <w:rsid w:val="0017483E"/>
    <w:rsid w:val="001820DD"/>
    <w:rsid w:val="001B234C"/>
    <w:rsid w:val="001D62EE"/>
    <w:rsid w:val="002001B7"/>
    <w:rsid w:val="00217C55"/>
    <w:rsid w:val="002217E7"/>
    <w:rsid w:val="0022340C"/>
    <w:rsid w:val="00237825"/>
    <w:rsid w:val="00237AF7"/>
    <w:rsid w:val="00244345"/>
    <w:rsid w:val="00245F51"/>
    <w:rsid w:val="0024633D"/>
    <w:rsid w:val="002541E3"/>
    <w:rsid w:val="002659FD"/>
    <w:rsid w:val="002A26D8"/>
    <w:rsid w:val="002B4A71"/>
    <w:rsid w:val="003007E8"/>
    <w:rsid w:val="00311F0B"/>
    <w:rsid w:val="003144C0"/>
    <w:rsid w:val="003620B6"/>
    <w:rsid w:val="003635E4"/>
    <w:rsid w:val="003903E6"/>
    <w:rsid w:val="00392E89"/>
    <w:rsid w:val="00396944"/>
    <w:rsid w:val="003A2162"/>
    <w:rsid w:val="003A65EA"/>
    <w:rsid w:val="003C0077"/>
    <w:rsid w:val="003E41C8"/>
    <w:rsid w:val="003E500B"/>
    <w:rsid w:val="003F04FC"/>
    <w:rsid w:val="00437CD3"/>
    <w:rsid w:val="00441EBC"/>
    <w:rsid w:val="00474407"/>
    <w:rsid w:val="00480045"/>
    <w:rsid w:val="0049092C"/>
    <w:rsid w:val="004F2C20"/>
    <w:rsid w:val="004F6967"/>
    <w:rsid w:val="00512167"/>
    <w:rsid w:val="00565E57"/>
    <w:rsid w:val="005745AF"/>
    <w:rsid w:val="005746B6"/>
    <w:rsid w:val="00574CE6"/>
    <w:rsid w:val="00582F91"/>
    <w:rsid w:val="00584657"/>
    <w:rsid w:val="005D3A5C"/>
    <w:rsid w:val="00602E73"/>
    <w:rsid w:val="0063301F"/>
    <w:rsid w:val="00636858"/>
    <w:rsid w:val="00644A1B"/>
    <w:rsid w:val="00647D1F"/>
    <w:rsid w:val="0065315B"/>
    <w:rsid w:val="0066217B"/>
    <w:rsid w:val="00663196"/>
    <w:rsid w:val="00671F87"/>
    <w:rsid w:val="0068572E"/>
    <w:rsid w:val="006904A8"/>
    <w:rsid w:val="00693CE1"/>
    <w:rsid w:val="006A25B5"/>
    <w:rsid w:val="006C786B"/>
    <w:rsid w:val="006D0A46"/>
    <w:rsid w:val="006D40D7"/>
    <w:rsid w:val="006E2BD1"/>
    <w:rsid w:val="006F0BCB"/>
    <w:rsid w:val="006F1EA0"/>
    <w:rsid w:val="006F20BE"/>
    <w:rsid w:val="00702976"/>
    <w:rsid w:val="00702EA8"/>
    <w:rsid w:val="00711D9D"/>
    <w:rsid w:val="0071462B"/>
    <w:rsid w:val="007357F6"/>
    <w:rsid w:val="007359DF"/>
    <w:rsid w:val="007564E5"/>
    <w:rsid w:val="00766298"/>
    <w:rsid w:val="00775050"/>
    <w:rsid w:val="007A5FDA"/>
    <w:rsid w:val="007B37EF"/>
    <w:rsid w:val="007B6EFA"/>
    <w:rsid w:val="007D7404"/>
    <w:rsid w:val="007F3AD0"/>
    <w:rsid w:val="0080751F"/>
    <w:rsid w:val="00824DEF"/>
    <w:rsid w:val="00830322"/>
    <w:rsid w:val="00836072"/>
    <w:rsid w:val="0083608B"/>
    <w:rsid w:val="008707FF"/>
    <w:rsid w:val="00895FB1"/>
    <w:rsid w:val="00897482"/>
    <w:rsid w:val="008C166B"/>
    <w:rsid w:val="008C20DE"/>
    <w:rsid w:val="008C5774"/>
    <w:rsid w:val="008D0A07"/>
    <w:rsid w:val="008F0C41"/>
    <w:rsid w:val="00903F91"/>
    <w:rsid w:val="009516FF"/>
    <w:rsid w:val="00953D38"/>
    <w:rsid w:val="00980792"/>
    <w:rsid w:val="009910F0"/>
    <w:rsid w:val="009918DE"/>
    <w:rsid w:val="009A2419"/>
    <w:rsid w:val="009B1E68"/>
    <w:rsid w:val="009B5E7E"/>
    <w:rsid w:val="009D1974"/>
    <w:rsid w:val="009F0E74"/>
    <w:rsid w:val="009F2B27"/>
    <w:rsid w:val="00A118AE"/>
    <w:rsid w:val="00A32905"/>
    <w:rsid w:val="00A41815"/>
    <w:rsid w:val="00A7781F"/>
    <w:rsid w:val="00A77C2B"/>
    <w:rsid w:val="00A82765"/>
    <w:rsid w:val="00A90E8B"/>
    <w:rsid w:val="00AA7E50"/>
    <w:rsid w:val="00AB143D"/>
    <w:rsid w:val="00AB5198"/>
    <w:rsid w:val="00AD2616"/>
    <w:rsid w:val="00AE557D"/>
    <w:rsid w:val="00B055D1"/>
    <w:rsid w:val="00B227E6"/>
    <w:rsid w:val="00B4167C"/>
    <w:rsid w:val="00B4530C"/>
    <w:rsid w:val="00B476AF"/>
    <w:rsid w:val="00B5042E"/>
    <w:rsid w:val="00B7060A"/>
    <w:rsid w:val="00B738F2"/>
    <w:rsid w:val="00B77E3C"/>
    <w:rsid w:val="00B80870"/>
    <w:rsid w:val="00B82D18"/>
    <w:rsid w:val="00B85103"/>
    <w:rsid w:val="00BA6C09"/>
    <w:rsid w:val="00BB2212"/>
    <w:rsid w:val="00BB453A"/>
    <w:rsid w:val="00BC681C"/>
    <w:rsid w:val="00BE3392"/>
    <w:rsid w:val="00BF215A"/>
    <w:rsid w:val="00C043F9"/>
    <w:rsid w:val="00C07A06"/>
    <w:rsid w:val="00C115CF"/>
    <w:rsid w:val="00C30846"/>
    <w:rsid w:val="00C5229B"/>
    <w:rsid w:val="00C823B0"/>
    <w:rsid w:val="00C83193"/>
    <w:rsid w:val="00CA7C1D"/>
    <w:rsid w:val="00CE0FAF"/>
    <w:rsid w:val="00D23DD3"/>
    <w:rsid w:val="00D87E1F"/>
    <w:rsid w:val="00D963FC"/>
    <w:rsid w:val="00DB1D2B"/>
    <w:rsid w:val="00DB2AB5"/>
    <w:rsid w:val="00DC0715"/>
    <w:rsid w:val="00DD33D8"/>
    <w:rsid w:val="00E02145"/>
    <w:rsid w:val="00E231FD"/>
    <w:rsid w:val="00E50570"/>
    <w:rsid w:val="00E55A54"/>
    <w:rsid w:val="00E63256"/>
    <w:rsid w:val="00E83538"/>
    <w:rsid w:val="00E902F6"/>
    <w:rsid w:val="00EB15F4"/>
    <w:rsid w:val="00EE0226"/>
    <w:rsid w:val="00F01E52"/>
    <w:rsid w:val="00F27E1E"/>
    <w:rsid w:val="00F5684A"/>
    <w:rsid w:val="00F62912"/>
    <w:rsid w:val="00F65F0B"/>
    <w:rsid w:val="00F66859"/>
    <w:rsid w:val="00F70C66"/>
    <w:rsid w:val="00F7343F"/>
    <w:rsid w:val="00F813D3"/>
    <w:rsid w:val="00F90E99"/>
    <w:rsid w:val="00F91E78"/>
    <w:rsid w:val="00FA22C1"/>
    <w:rsid w:val="00FA400F"/>
    <w:rsid w:val="00FD20CB"/>
    <w:rsid w:val="00FD6305"/>
    <w:rsid w:val="00FD6666"/>
    <w:rsid w:val="00FE2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F026189A-D2E7-484A-BEE5-8FBBD2F56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line="480" w:lineRule="auto"/>
        <w:ind w:firstLine="1440"/>
      </w:pPr>
    </w:pPrDefault>
  </w:docDefaults>
  <w:latentStyles w:defLockedState="0" w:defUIPriority="99" w:defSemiHidden="0" w:defUnhideWhenUsed="0" w:defQFormat="0" w:count="371">
    <w:lsdException w:name="Normal" w:uiPriority="0" w:qFormat="1"/>
    <w:lsdException w:name="heading 1" w:semiHidden="1" w:uiPriority="0" w:unhideWhenUsed="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iPriority="0" w:unhideWhenUsed="1" w:qFormat="1"/>
    <w:lsdException w:name="List 4" w:semiHidden="1" w:uiPriority="0" w:unhideWhenUsed="1" w:qFormat="1"/>
    <w:lsdException w:name="List 5" w:semiHidden="1" w:uiPriority="0"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9" w:unhideWhenUsed="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196"/>
  </w:style>
  <w:style w:type="paragraph" w:styleId="Heading1">
    <w:name w:val="heading 1"/>
    <w:basedOn w:val="Normal"/>
    <w:next w:val="Normal"/>
    <w:link w:val="Heading1Char"/>
    <w:unhideWhenUsed/>
    <w:qFormat/>
    <w:pPr>
      <w:keepNext/>
      <w:keepLines/>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nhideWhenUsed/>
    <w:qFormat/>
    <w:pPr>
      <w:keepNext/>
      <w:keepLines/>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nhideWhenUsed/>
    <w:qFormat/>
    <w:rsid w:val="00895FB1"/>
    <w:pPr>
      <w:keepNext/>
      <w:keepLines/>
      <w:spacing w:before="40"/>
      <w:outlineLvl w:val="2"/>
    </w:pPr>
    <w:rPr>
      <w:rFonts w:asciiTheme="majorHAnsi" w:eastAsiaTheme="majorEastAsia" w:hAnsiTheme="majorHAnsi" w:cstheme="majorBidi"/>
      <w:color w:val="202F69" w:themeColor="accent1" w:themeShade="7F"/>
      <w:sz w:val="24"/>
      <w:szCs w:val="24"/>
    </w:rPr>
  </w:style>
  <w:style w:type="paragraph" w:styleId="Heading4">
    <w:name w:val="heading 4"/>
    <w:basedOn w:val="Normal"/>
    <w:next w:val="Normal"/>
    <w:link w:val="Heading4Char"/>
    <w:unhideWhenUsed/>
    <w:qFormat/>
    <w:rsid w:val="00663196"/>
    <w:pPr>
      <w:keepNext/>
      <w:keepLines/>
      <w:spacing w:before="40"/>
      <w:outlineLvl w:val="3"/>
    </w:pPr>
    <w:rPr>
      <w:rFonts w:asciiTheme="majorHAnsi" w:eastAsiaTheme="majorEastAsia" w:hAnsiTheme="majorHAnsi" w:cstheme="majorBidi"/>
      <w:i/>
      <w:iCs/>
      <w:color w:val="31479E" w:themeColor="accent1" w:themeShade="BF"/>
    </w:rPr>
  </w:style>
  <w:style w:type="paragraph" w:styleId="Heading5">
    <w:name w:val="heading 5"/>
    <w:basedOn w:val="Normal"/>
    <w:next w:val="Normal"/>
    <w:link w:val="Heading5Char"/>
    <w:uiPriority w:val="9"/>
    <w:semiHidden/>
    <w:unhideWhenUsed/>
    <w:qFormat/>
    <w:rsid w:val="00663196"/>
    <w:pPr>
      <w:keepNext/>
      <w:keepLines/>
      <w:spacing w:before="40"/>
      <w:outlineLvl w:val="4"/>
    </w:pPr>
    <w:rPr>
      <w:rFonts w:asciiTheme="majorHAnsi" w:eastAsiaTheme="majorEastAsia" w:hAnsiTheme="majorHAnsi" w:cstheme="majorBidi"/>
      <w:color w:val="31479E" w:themeColor="accent1" w:themeShade="BF"/>
    </w:rPr>
  </w:style>
  <w:style w:type="paragraph" w:styleId="Heading6">
    <w:name w:val="heading 6"/>
    <w:basedOn w:val="Normal"/>
    <w:next w:val="Normal"/>
    <w:link w:val="Heading6Char"/>
    <w:uiPriority w:val="9"/>
    <w:semiHidden/>
    <w:unhideWhenUsed/>
    <w:qFormat/>
    <w:rsid w:val="00895FB1"/>
    <w:pPr>
      <w:keepNext/>
      <w:keepLines/>
      <w:spacing w:before="40"/>
      <w:outlineLvl w:val="5"/>
    </w:pPr>
    <w:rPr>
      <w:rFonts w:asciiTheme="majorHAnsi" w:eastAsiaTheme="majorEastAsia" w:hAnsiTheme="majorHAnsi" w:cstheme="majorBidi"/>
      <w:color w:val="202F69" w:themeColor="accent1" w:themeShade="7F"/>
    </w:rPr>
  </w:style>
  <w:style w:type="paragraph" w:styleId="Heading7">
    <w:name w:val="heading 7"/>
    <w:basedOn w:val="Normal"/>
    <w:next w:val="Normal"/>
    <w:link w:val="Heading7Char"/>
    <w:uiPriority w:val="9"/>
    <w:semiHidden/>
    <w:unhideWhenUsed/>
    <w:qFormat/>
    <w:rsid w:val="00895FB1"/>
    <w:pPr>
      <w:keepNext/>
      <w:keepLines/>
      <w:spacing w:before="40"/>
      <w:outlineLvl w:val="6"/>
    </w:pPr>
    <w:rPr>
      <w:rFonts w:asciiTheme="majorHAnsi" w:eastAsiaTheme="majorEastAsia" w:hAnsiTheme="majorHAnsi" w:cstheme="majorBidi"/>
      <w:i/>
      <w:iCs/>
      <w:color w:val="202F69" w:themeColor="accent1" w:themeShade="7F"/>
    </w:rPr>
  </w:style>
  <w:style w:type="paragraph" w:styleId="Heading8">
    <w:name w:val="heading 8"/>
    <w:basedOn w:val="Normal"/>
    <w:next w:val="Normal"/>
    <w:link w:val="Heading8Char"/>
    <w:uiPriority w:val="9"/>
    <w:semiHidden/>
    <w:unhideWhenUsed/>
    <w:qFormat/>
    <w:rsid w:val="00895FB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6319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2"/>
    <w:qFormat/>
    <w:pPr>
      <w:spacing w:line="240" w:lineRule="auto"/>
      <w:ind w:firstLine="0"/>
    </w:pPr>
    <w:rPr>
      <w:caps/>
    </w:rPr>
  </w:style>
  <w:style w:type="character" w:customStyle="1" w:styleId="FooterChar">
    <w:name w:val="Footer Char"/>
    <w:basedOn w:val="DefaultParagraphFont"/>
    <w:link w:val="Footer"/>
    <w:uiPriority w:val="2"/>
    <w:rPr>
      <w:caps/>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ies">
    <w:name w:val="Parties"/>
    <w:basedOn w:val="Normal"/>
    <w:link w:val="PartiesChar"/>
    <w:uiPriority w:val="1"/>
    <w:qFormat/>
    <w:pPr>
      <w:spacing w:after="200" w:line="240" w:lineRule="auto"/>
      <w:ind w:firstLine="0"/>
    </w:pPr>
    <w:rPr>
      <w:rFonts w:asciiTheme="majorHAnsi" w:eastAsiaTheme="majorEastAsia" w:hAnsiTheme="majorHAnsi" w:cstheme="majorBidi"/>
      <w:caps/>
    </w:rPr>
  </w:style>
  <w:style w:type="paragraph" w:customStyle="1" w:styleId="Pleadingtitle">
    <w:name w:val="Pleading title"/>
    <w:basedOn w:val="Normal"/>
    <w:link w:val="PleadingtitleChar"/>
    <w:uiPriority w:val="1"/>
    <w:qFormat/>
    <w:pPr>
      <w:spacing w:line="240" w:lineRule="auto"/>
      <w:ind w:firstLine="0"/>
    </w:pPr>
    <w:rPr>
      <w:caps/>
    </w:rPr>
  </w:style>
  <w:style w:type="character" w:customStyle="1" w:styleId="PleadingtitleChar">
    <w:name w:val="Pleading title Char"/>
    <w:basedOn w:val="DefaultParagraphFont"/>
    <w:link w:val="Pleadingtitle"/>
    <w:uiPriority w:val="1"/>
    <w:rPr>
      <w:caps/>
    </w:rPr>
  </w:style>
  <w:style w:type="character" w:customStyle="1" w:styleId="PartiesChar">
    <w:name w:val="Parties Char"/>
    <w:basedOn w:val="DefaultParagraphFont"/>
    <w:link w:val="Parties"/>
    <w:uiPriority w:val="1"/>
    <w:rPr>
      <w:rFonts w:asciiTheme="majorHAnsi" w:eastAsiaTheme="majorEastAsia" w:hAnsiTheme="majorHAnsi" w:cstheme="majorBidi"/>
      <w:caps/>
    </w:rPr>
  </w:style>
  <w:style w:type="character" w:styleId="PlaceholderText">
    <w:name w:val="Placeholder Text"/>
    <w:basedOn w:val="DefaultParagraphFont"/>
    <w:uiPriority w:val="99"/>
    <w:semiHidden/>
    <w:rPr>
      <w:color w:val="808080"/>
    </w:rPr>
  </w:style>
  <w:style w:type="paragraph" w:customStyle="1" w:styleId="CourtName">
    <w:name w:val="Court Name"/>
    <w:basedOn w:val="Normal"/>
    <w:link w:val="CourtNameChar"/>
    <w:uiPriority w:val="1"/>
    <w:qFormat/>
    <w:pPr>
      <w:spacing w:before="240"/>
      <w:ind w:firstLine="0"/>
      <w:contextualSpacing/>
      <w:jc w:val="center"/>
    </w:pPr>
    <w:rPr>
      <w:caps/>
    </w:rPr>
  </w:style>
  <w:style w:type="character" w:customStyle="1" w:styleId="Heading1Char">
    <w:name w:val="Heading 1 Char"/>
    <w:basedOn w:val="DefaultParagraphFont"/>
    <w:link w:val="Heading1"/>
    <w:uiPriority w:val="9"/>
    <w:semiHidden/>
    <w:rPr>
      <w:rFonts w:asciiTheme="majorHAnsi" w:eastAsiaTheme="majorEastAsia" w:hAnsiTheme="majorHAnsi" w:cstheme="majorBidi"/>
      <w:sz w:val="32"/>
      <w:szCs w:val="32"/>
    </w:rPr>
  </w:style>
  <w:style w:type="paragraph" w:customStyle="1" w:styleId="AttorneyName">
    <w:name w:val="Attorney Name"/>
    <w:basedOn w:val="Normal"/>
    <w:link w:val="AttorneyNameChar"/>
    <w:uiPriority w:val="1"/>
    <w:qFormat/>
    <w:rsid w:val="00396944"/>
    <w:pPr>
      <w:spacing w:line="240" w:lineRule="auto"/>
      <w:ind w:firstLine="0"/>
      <w:contextualSpacing/>
    </w:pPr>
  </w:style>
  <w:style w:type="paragraph" w:customStyle="1" w:styleId="LineNumbers">
    <w:name w:val="Line Numbers"/>
    <w:basedOn w:val="Normal"/>
    <w:uiPriority w:val="1"/>
    <w:qFormat/>
    <w:pPr>
      <w:ind w:firstLine="0"/>
      <w:jc w:val="right"/>
    </w:pPr>
  </w:style>
  <w:style w:type="paragraph" w:customStyle="1" w:styleId="CaseNo">
    <w:name w:val="Case No."/>
    <w:basedOn w:val="Normal"/>
    <w:link w:val="CaseNoChar"/>
    <w:uiPriority w:val="1"/>
    <w:qFormat/>
    <w:pPr>
      <w:spacing w:after="640" w:line="240" w:lineRule="auto"/>
      <w:ind w:firstLine="0"/>
    </w:p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sz w:val="26"/>
      <w:szCs w:val="26"/>
    </w:rPr>
  </w:style>
  <w:style w:type="character" w:customStyle="1" w:styleId="AttorneyNameChar">
    <w:name w:val="Attorney Name Char"/>
    <w:basedOn w:val="DefaultParagraphFont"/>
    <w:link w:val="AttorneyName"/>
    <w:uiPriority w:val="1"/>
    <w:rsid w:val="00396944"/>
  </w:style>
  <w:style w:type="character" w:customStyle="1" w:styleId="CourtNameChar">
    <w:name w:val="Court Name Char"/>
    <w:basedOn w:val="DefaultParagraphFont"/>
    <w:link w:val="CourtName"/>
    <w:uiPriority w:val="1"/>
    <w:rPr>
      <w:caps/>
    </w:rPr>
  </w:style>
  <w:style w:type="character" w:customStyle="1" w:styleId="CaseNoChar">
    <w:name w:val="Case No. Char"/>
    <w:basedOn w:val="DefaultParagraphFont"/>
    <w:link w:val="CaseNo"/>
    <w:uiPriority w:val="1"/>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rPr>
      <w:rFonts w:eastAsia="Times New Roman" w:cs="Times New Roman"/>
      <w:sz w:val="20"/>
      <w:szCs w:val="20"/>
    </w:rPr>
  </w:style>
  <w:style w:type="paragraph" w:styleId="NoSpacing">
    <w:name w:val="No Spacing"/>
    <w:uiPriority w:val="1"/>
    <w:unhideWhenUsed/>
    <w:qFormat/>
    <w:pPr>
      <w:widowControl w:val="0"/>
      <w:spacing w:line="240" w:lineRule="auto"/>
      <w:ind w:firstLine="0"/>
    </w:pPr>
    <w:rPr>
      <w:rFonts w:eastAsia="Times New Roman" w:cs="Times New Roman"/>
    </w:rPr>
  </w:style>
  <w:style w:type="paragraph" w:styleId="Date">
    <w:name w:val="Date"/>
    <w:basedOn w:val="Normal"/>
    <w:next w:val="Normal"/>
    <w:link w:val="DateChar"/>
    <w:uiPriority w:val="1"/>
    <w:unhideWhenUsed/>
    <w:qFormat/>
    <w:rsid w:val="003A65EA"/>
    <w:pPr>
      <w:spacing w:after="540"/>
    </w:pPr>
  </w:style>
  <w:style w:type="character" w:customStyle="1" w:styleId="DateChar">
    <w:name w:val="Date Char"/>
    <w:basedOn w:val="DefaultParagraphFont"/>
    <w:link w:val="Date"/>
    <w:uiPriority w:val="1"/>
    <w:rsid w:val="003A65EA"/>
  </w:style>
  <w:style w:type="character" w:customStyle="1" w:styleId="Heading4Char">
    <w:name w:val="Heading 4 Char"/>
    <w:basedOn w:val="DefaultParagraphFont"/>
    <w:link w:val="Heading4"/>
    <w:uiPriority w:val="9"/>
    <w:semiHidden/>
    <w:rsid w:val="00663196"/>
    <w:rPr>
      <w:rFonts w:asciiTheme="majorHAnsi" w:eastAsiaTheme="majorEastAsia" w:hAnsiTheme="majorHAnsi" w:cstheme="majorBidi"/>
      <w:i/>
      <w:iCs/>
      <w:color w:val="31479E" w:themeColor="accent1" w:themeShade="BF"/>
    </w:rPr>
  </w:style>
  <w:style w:type="character" w:customStyle="1" w:styleId="Heading5Char">
    <w:name w:val="Heading 5 Char"/>
    <w:basedOn w:val="DefaultParagraphFont"/>
    <w:link w:val="Heading5"/>
    <w:uiPriority w:val="9"/>
    <w:semiHidden/>
    <w:rsid w:val="00663196"/>
    <w:rPr>
      <w:rFonts w:asciiTheme="majorHAnsi" w:eastAsiaTheme="majorEastAsia" w:hAnsiTheme="majorHAnsi" w:cstheme="majorBidi"/>
      <w:color w:val="31479E" w:themeColor="accent1" w:themeShade="BF"/>
    </w:rPr>
  </w:style>
  <w:style w:type="character" w:customStyle="1" w:styleId="Heading9Char">
    <w:name w:val="Heading 9 Char"/>
    <w:basedOn w:val="DefaultParagraphFont"/>
    <w:link w:val="Heading9"/>
    <w:uiPriority w:val="9"/>
    <w:semiHidden/>
    <w:rsid w:val="00663196"/>
    <w:rPr>
      <w:rFonts w:asciiTheme="majorHAnsi" w:eastAsiaTheme="majorEastAsia" w:hAnsiTheme="majorHAnsi" w:cstheme="majorBidi"/>
      <w:i/>
      <w:iCs/>
      <w:color w:val="272727" w:themeColor="text1" w:themeTint="D8"/>
      <w:sz w:val="21"/>
      <w:szCs w:val="21"/>
    </w:rPr>
  </w:style>
  <w:style w:type="character" w:styleId="IntenseEmphasis">
    <w:name w:val="Intense Emphasis"/>
    <w:basedOn w:val="DefaultParagraphFont"/>
    <w:uiPriority w:val="21"/>
    <w:semiHidden/>
    <w:unhideWhenUsed/>
    <w:qFormat/>
    <w:rsid w:val="00663196"/>
    <w:rPr>
      <w:i/>
      <w:iCs/>
      <w:color w:val="31479E" w:themeColor="accent1" w:themeShade="BF"/>
    </w:rPr>
  </w:style>
  <w:style w:type="paragraph" w:styleId="IntenseQuote">
    <w:name w:val="Intense Quote"/>
    <w:basedOn w:val="Normal"/>
    <w:next w:val="Normal"/>
    <w:link w:val="IntenseQuoteChar"/>
    <w:uiPriority w:val="30"/>
    <w:semiHidden/>
    <w:unhideWhenUsed/>
    <w:qFormat/>
    <w:rsid w:val="00663196"/>
    <w:pPr>
      <w:pBdr>
        <w:top w:val="single" w:sz="4" w:space="10" w:color="31479E" w:themeColor="accent1" w:themeShade="BF"/>
        <w:bottom w:val="single" w:sz="4" w:space="10" w:color="31479E" w:themeColor="accent1" w:themeShade="BF"/>
      </w:pBdr>
      <w:spacing w:before="360" w:after="360"/>
      <w:ind w:left="864" w:right="864"/>
      <w:jc w:val="center"/>
    </w:pPr>
    <w:rPr>
      <w:i/>
      <w:iCs/>
      <w:color w:val="31479E" w:themeColor="accent1" w:themeShade="BF"/>
    </w:rPr>
  </w:style>
  <w:style w:type="character" w:customStyle="1" w:styleId="IntenseQuoteChar">
    <w:name w:val="Intense Quote Char"/>
    <w:basedOn w:val="DefaultParagraphFont"/>
    <w:link w:val="IntenseQuote"/>
    <w:uiPriority w:val="30"/>
    <w:semiHidden/>
    <w:rsid w:val="00663196"/>
    <w:rPr>
      <w:i/>
      <w:iCs/>
      <w:color w:val="31479E" w:themeColor="accent1" w:themeShade="BF"/>
    </w:rPr>
  </w:style>
  <w:style w:type="character" w:styleId="IntenseReference">
    <w:name w:val="Intense Reference"/>
    <w:basedOn w:val="DefaultParagraphFont"/>
    <w:uiPriority w:val="32"/>
    <w:semiHidden/>
    <w:unhideWhenUsed/>
    <w:qFormat/>
    <w:rsid w:val="00663196"/>
    <w:rPr>
      <w:b/>
      <w:bCs/>
      <w:caps w:val="0"/>
      <w:smallCaps/>
      <w:color w:val="31479E" w:themeColor="accent1" w:themeShade="BF"/>
      <w:spacing w:val="5"/>
    </w:rPr>
  </w:style>
  <w:style w:type="paragraph" w:styleId="BlockText">
    <w:name w:val="Block Text"/>
    <w:basedOn w:val="Normal"/>
    <w:uiPriority w:val="99"/>
    <w:semiHidden/>
    <w:unhideWhenUsed/>
    <w:rsid w:val="00663196"/>
    <w:pPr>
      <w:pBdr>
        <w:top w:val="single" w:sz="2" w:space="10" w:color="31479E" w:themeColor="accent1" w:themeShade="BF"/>
        <w:left w:val="single" w:sz="2" w:space="10" w:color="31479E" w:themeColor="accent1" w:themeShade="BF"/>
        <w:bottom w:val="single" w:sz="2" w:space="10" w:color="31479E" w:themeColor="accent1" w:themeShade="BF"/>
        <w:right w:val="single" w:sz="2" w:space="10" w:color="31479E" w:themeColor="accent1" w:themeShade="BF"/>
      </w:pBdr>
      <w:ind w:left="1152" w:right="1152"/>
    </w:pPr>
    <w:rPr>
      <w:i/>
      <w:iCs/>
      <w:color w:val="31479E" w:themeColor="accent1" w:themeShade="BF"/>
    </w:rPr>
  </w:style>
  <w:style w:type="character" w:styleId="FollowedHyperlink">
    <w:name w:val="FollowedHyperlink"/>
    <w:basedOn w:val="DefaultParagraphFont"/>
    <w:uiPriority w:val="99"/>
    <w:semiHidden/>
    <w:unhideWhenUsed/>
    <w:rsid w:val="00663196"/>
    <w:rPr>
      <w:color w:val="0B769D" w:themeColor="accent2" w:themeShade="80"/>
      <w:u w:val="single"/>
    </w:rPr>
  </w:style>
  <w:style w:type="character" w:styleId="Hyperlink">
    <w:name w:val="Hyperlink"/>
    <w:basedOn w:val="DefaultParagraphFont"/>
    <w:uiPriority w:val="99"/>
    <w:unhideWhenUsed/>
    <w:rsid w:val="00663196"/>
    <w:rPr>
      <w:color w:val="23735D" w:themeColor="accent4" w:themeShade="80"/>
      <w:u w:val="single"/>
    </w:rPr>
  </w:style>
  <w:style w:type="character" w:customStyle="1" w:styleId="UnresolvedMention1">
    <w:name w:val="Unresolved Mention1"/>
    <w:basedOn w:val="DefaultParagraphFont"/>
    <w:uiPriority w:val="99"/>
    <w:semiHidden/>
    <w:unhideWhenUsed/>
    <w:rsid w:val="00663196"/>
    <w:rPr>
      <w:color w:val="595959" w:themeColor="text1" w:themeTint="A6"/>
      <w:shd w:val="clear" w:color="auto" w:fill="E6E6E6"/>
    </w:rPr>
  </w:style>
  <w:style w:type="character" w:styleId="BookTitle">
    <w:name w:val="Book Title"/>
    <w:basedOn w:val="DefaultParagraphFont"/>
    <w:uiPriority w:val="33"/>
    <w:semiHidden/>
    <w:unhideWhenUsed/>
    <w:qFormat/>
    <w:rsid w:val="00895FB1"/>
    <w:rPr>
      <w:b/>
      <w:bCs/>
      <w:i/>
      <w:iCs/>
      <w:spacing w:val="5"/>
    </w:rPr>
  </w:style>
  <w:style w:type="paragraph" w:styleId="Caption">
    <w:name w:val="caption"/>
    <w:basedOn w:val="Normal"/>
    <w:next w:val="Normal"/>
    <w:uiPriority w:val="35"/>
    <w:semiHidden/>
    <w:unhideWhenUsed/>
    <w:qFormat/>
    <w:rsid w:val="00895FB1"/>
    <w:pPr>
      <w:spacing w:after="200" w:line="240" w:lineRule="auto"/>
    </w:pPr>
    <w:rPr>
      <w:i/>
      <w:iCs/>
      <w:color w:val="212745" w:themeColor="text2"/>
      <w:sz w:val="18"/>
      <w:szCs w:val="18"/>
    </w:rPr>
  </w:style>
  <w:style w:type="character" w:styleId="Emphasis">
    <w:name w:val="Emphasis"/>
    <w:basedOn w:val="DefaultParagraphFont"/>
    <w:uiPriority w:val="20"/>
    <w:semiHidden/>
    <w:unhideWhenUsed/>
    <w:qFormat/>
    <w:rsid w:val="00895FB1"/>
    <w:rPr>
      <w:i/>
      <w:iCs/>
    </w:rPr>
  </w:style>
  <w:style w:type="character" w:customStyle="1" w:styleId="Heading3Char">
    <w:name w:val="Heading 3 Char"/>
    <w:basedOn w:val="DefaultParagraphFont"/>
    <w:link w:val="Heading3"/>
    <w:uiPriority w:val="9"/>
    <w:semiHidden/>
    <w:rsid w:val="00895FB1"/>
    <w:rPr>
      <w:rFonts w:asciiTheme="majorHAnsi" w:eastAsiaTheme="majorEastAsia" w:hAnsiTheme="majorHAnsi" w:cstheme="majorBidi"/>
      <w:color w:val="202F69" w:themeColor="accent1" w:themeShade="7F"/>
      <w:sz w:val="24"/>
      <w:szCs w:val="24"/>
    </w:rPr>
  </w:style>
  <w:style w:type="character" w:customStyle="1" w:styleId="Heading6Char">
    <w:name w:val="Heading 6 Char"/>
    <w:basedOn w:val="DefaultParagraphFont"/>
    <w:link w:val="Heading6"/>
    <w:uiPriority w:val="9"/>
    <w:semiHidden/>
    <w:rsid w:val="00895FB1"/>
    <w:rPr>
      <w:rFonts w:asciiTheme="majorHAnsi" w:eastAsiaTheme="majorEastAsia" w:hAnsiTheme="majorHAnsi" w:cstheme="majorBidi"/>
      <w:color w:val="202F69" w:themeColor="accent1" w:themeShade="7F"/>
    </w:rPr>
  </w:style>
  <w:style w:type="character" w:customStyle="1" w:styleId="Heading7Char">
    <w:name w:val="Heading 7 Char"/>
    <w:basedOn w:val="DefaultParagraphFont"/>
    <w:link w:val="Heading7"/>
    <w:uiPriority w:val="9"/>
    <w:semiHidden/>
    <w:rsid w:val="00895FB1"/>
    <w:rPr>
      <w:rFonts w:asciiTheme="majorHAnsi" w:eastAsiaTheme="majorEastAsia" w:hAnsiTheme="majorHAnsi" w:cstheme="majorBidi"/>
      <w:i/>
      <w:iCs/>
      <w:color w:val="202F69" w:themeColor="accent1" w:themeShade="7F"/>
    </w:rPr>
  </w:style>
  <w:style w:type="character" w:customStyle="1" w:styleId="Heading8Char">
    <w:name w:val="Heading 8 Char"/>
    <w:basedOn w:val="DefaultParagraphFont"/>
    <w:link w:val="Heading8"/>
    <w:uiPriority w:val="9"/>
    <w:semiHidden/>
    <w:rsid w:val="00895FB1"/>
    <w:rPr>
      <w:rFonts w:asciiTheme="majorHAnsi" w:eastAsiaTheme="majorEastAsia" w:hAnsiTheme="majorHAnsi" w:cstheme="majorBidi"/>
      <w:color w:val="272727" w:themeColor="text1" w:themeTint="D8"/>
      <w:sz w:val="21"/>
      <w:szCs w:val="21"/>
    </w:rPr>
  </w:style>
  <w:style w:type="paragraph" w:styleId="ListParagraph">
    <w:name w:val="List Paragraph"/>
    <w:basedOn w:val="Normal"/>
    <w:uiPriority w:val="34"/>
    <w:unhideWhenUsed/>
    <w:qFormat/>
    <w:rsid w:val="00895FB1"/>
    <w:pPr>
      <w:ind w:left="720"/>
      <w:contextualSpacing/>
    </w:pPr>
  </w:style>
  <w:style w:type="paragraph" w:styleId="Quote">
    <w:name w:val="Quote"/>
    <w:basedOn w:val="Normal"/>
    <w:next w:val="Normal"/>
    <w:link w:val="QuoteChar"/>
    <w:uiPriority w:val="29"/>
    <w:semiHidden/>
    <w:unhideWhenUsed/>
    <w:qFormat/>
    <w:rsid w:val="00895FB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895FB1"/>
    <w:rPr>
      <w:i/>
      <w:iCs/>
      <w:color w:val="404040" w:themeColor="text1" w:themeTint="BF"/>
    </w:rPr>
  </w:style>
  <w:style w:type="character" w:styleId="Strong">
    <w:name w:val="Strong"/>
    <w:basedOn w:val="DefaultParagraphFont"/>
    <w:uiPriority w:val="9"/>
    <w:semiHidden/>
    <w:unhideWhenUsed/>
    <w:rsid w:val="00895FB1"/>
    <w:rPr>
      <w:b/>
      <w:bCs/>
    </w:rPr>
  </w:style>
  <w:style w:type="paragraph" w:styleId="Subtitle">
    <w:name w:val="Subtitle"/>
    <w:basedOn w:val="Normal"/>
    <w:next w:val="Normal"/>
    <w:link w:val="SubtitleChar"/>
    <w:uiPriority w:val="11"/>
    <w:semiHidden/>
    <w:unhideWhenUsed/>
    <w:qFormat/>
    <w:rsid w:val="00895FB1"/>
    <w:pPr>
      <w:numPr>
        <w:ilvl w:val="1"/>
      </w:numPr>
      <w:spacing w:after="160"/>
      <w:ind w:firstLine="1440"/>
    </w:pPr>
    <w:rPr>
      <w:color w:val="5A5A5A" w:themeColor="text1" w:themeTint="A5"/>
      <w:spacing w:val="15"/>
      <w:sz w:val="22"/>
      <w:szCs w:val="22"/>
    </w:rPr>
  </w:style>
  <w:style w:type="character" w:customStyle="1" w:styleId="SubtitleChar">
    <w:name w:val="Subtitle Char"/>
    <w:basedOn w:val="DefaultParagraphFont"/>
    <w:link w:val="Subtitle"/>
    <w:uiPriority w:val="11"/>
    <w:semiHidden/>
    <w:rsid w:val="00895FB1"/>
    <w:rPr>
      <w:color w:val="5A5A5A" w:themeColor="text1" w:themeTint="A5"/>
      <w:spacing w:val="15"/>
      <w:sz w:val="22"/>
      <w:szCs w:val="22"/>
    </w:rPr>
  </w:style>
  <w:style w:type="character" w:styleId="SubtleEmphasis">
    <w:name w:val="Subtle Emphasis"/>
    <w:basedOn w:val="DefaultParagraphFont"/>
    <w:uiPriority w:val="19"/>
    <w:semiHidden/>
    <w:unhideWhenUsed/>
    <w:qFormat/>
    <w:rsid w:val="00895FB1"/>
    <w:rPr>
      <w:i/>
      <w:iCs/>
      <w:color w:val="404040" w:themeColor="text1" w:themeTint="BF"/>
    </w:rPr>
  </w:style>
  <w:style w:type="character" w:styleId="SubtleReference">
    <w:name w:val="Subtle Reference"/>
    <w:basedOn w:val="DefaultParagraphFont"/>
    <w:uiPriority w:val="31"/>
    <w:semiHidden/>
    <w:unhideWhenUsed/>
    <w:qFormat/>
    <w:rsid w:val="00895FB1"/>
    <w:rPr>
      <w:smallCaps/>
      <w:color w:val="5A5A5A" w:themeColor="text1" w:themeTint="A5"/>
    </w:rPr>
  </w:style>
  <w:style w:type="paragraph" w:styleId="Title">
    <w:name w:val="Title"/>
    <w:basedOn w:val="Normal"/>
    <w:next w:val="Normal"/>
    <w:link w:val="TitleChar"/>
    <w:unhideWhenUsed/>
    <w:qFormat/>
    <w:rsid w:val="00895FB1"/>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5FB1"/>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semiHidden/>
    <w:unhideWhenUsed/>
    <w:qFormat/>
    <w:rsid w:val="00895FB1"/>
    <w:pPr>
      <w:spacing w:before="240"/>
      <w:outlineLvl w:val="9"/>
    </w:pPr>
    <w:rPr>
      <w:color w:val="31479E" w:themeColor="accent1" w:themeShade="BF"/>
    </w:rPr>
  </w:style>
  <w:style w:type="character" w:styleId="CommentReference">
    <w:name w:val="annotation reference"/>
    <w:basedOn w:val="DefaultParagraphFont"/>
    <w:uiPriority w:val="99"/>
    <w:semiHidden/>
    <w:unhideWhenUsed/>
    <w:rsid w:val="002A26D8"/>
    <w:rPr>
      <w:sz w:val="16"/>
      <w:szCs w:val="16"/>
    </w:rPr>
  </w:style>
  <w:style w:type="paragraph" w:styleId="CommentText">
    <w:name w:val="annotation text"/>
    <w:basedOn w:val="Normal"/>
    <w:link w:val="CommentTextChar"/>
    <w:uiPriority w:val="99"/>
    <w:semiHidden/>
    <w:unhideWhenUsed/>
    <w:rsid w:val="002A26D8"/>
    <w:pPr>
      <w:spacing w:line="240" w:lineRule="auto"/>
    </w:pPr>
  </w:style>
  <w:style w:type="character" w:customStyle="1" w:styleId="CommentTextChar">
    <w:name w:val="Comment Text Char"/>
    <w:basedOn w:val="DefaultParagraphFont"/>
    <w:link w:val="CommentText"/>
    <w:uiPriority w:val="99"/>
    <w:semiHidden/>
    <w:rsid w:val="002A26D8"/>
  </w:style>
  <w:style w:type="paragraph" w:styleId="CommentSubject">
    <w:name w:val="annotation subject"/>
    <w:basedOn w:val="CommentText"/>
    <w:next w:val="CommentText"/>
    <w:link w:val="CommentSubjectChar"/>
    <w:uiPriority w:val="99"/>
    <w:semiHidden/>
    <w:unhideWhenUsed/>
    <w:rsid w:val="002A26D8"/>
    <w:rPr>
      <w:b/>
      <w:bCs/>
    </w:rPr>
  </w:style>
  <w:style w:type="character" w:customStyle="1" w:styleId="CommentSubjectChar">
    <w:name w:val="Comment Subject Char"/>
    <w:basedOn w:val="CommentTextChar"/>
    <w:link w:val="CommentSubject"/>
    <w:uiPriority w:val="99"/>
    <w:semiHidden/>
    <w:rsid w:val="002A26D8"/>
    <w:rPr>
      <w:b/>
      <w:bCs/>
    </w:rPr>
  </w:style>
  <w:style w:type="paragraph" w:styleId="NormalWeb">
    <w:name w:val="Normal (Web)"/>
    <w:basedOn w:val="Normal"/>
    <w:uiPriority w:val="99"/>
    <w:unhideWhenUsed/>
    <w:rsid w:val="003E500B"/>
    <w:pPr>
      <w:spacing w:before="100" w:beforeAutospacing="1" w:after="100" w:afterAutospacing="1" w:line="240" w:lineRule="auto"/>
      <w:ind w:firstLine="0"/>
    </w:pPr>
    <w:rPr>
      <w:rFonts w:ascii="Times New Roman" w:eastAsia="Times New Roman" w:hAnsi="Times New Roman" w:cs="Times New Roman"/>
      <w:sz w:val="24"/>
      <w:szCs w:val="24"/>
      <w:lang w:eastAsia="zh-CN"/>
    </w:rPr>
  </w:style>
  <w:style w:type="paragraph" w:styleId="FootnoteText">
    <w:name w:val="footnote text"/>
    <w:basedOn w:val="Normal"/>
    <w:link w:val="FootnoteTextChar"/>
    <w:uiPriority w:val="99"/>
    <w:semiHidden/>
    <w:unhideWhenUsed/>
    <w:rsid w:val="003E500B"/>
    <w:pPr>
      <w:spacing w:line="240" w:lineRule="auto"/>
    </w:pPr>
  </w:style>
  <w:style w:type="character" w:customStyle="1" w:styleId="FootnoteTextChar">
    <w:name w:val="Footnote Text Char"/>
    <w:basedOn w:val="DefaultParagraphFont"/>
    <w:link w:val="FootnoteText"/>
    <w:uiPriority w:val="99"/>
    <w:semiHidden/>
    <w:rsid w:val="003E500B"/>
  </w:style>
  <w:style w:type="character" w:styleId="FootnoteReference">
    <w:name w:val="footnote reference"/>
    <w:basedOn w:val="DefaultParagraphFont"/>
    <w:uiPriority w:val="99"/>
    <w:semiHidden/>
    <w:unhideWhenUsed/>
    <w:rsid w:val="003E500B"/>
    <w:rPr>
      <w:vertAlign w:val="superscript"/>
    </w:rPr>
  </w:style>
  <w:style w:type="character" w:customStyle="1" w:styleId="ssrfcsection">
    <w:name w:val="ss_rfcsection"/>
    <w:basedOn w:val="DefaultParagraphFont"/>
    <w:rsid w:val="00B77E3C"/>
  </w:style>
  <w:style w:type="character" w:customStyle="1" w:styleId="sssh">
    <w:name w:val="ss_sh"/>
    <w:basedOn w:val="DefaultParagraphFont"/>
    <w:rsid w:val="00B77E3C"/>
  </w:style>
  <w:style w:type="character" w:customStyle="1" w:styleId="sseditorialcontent">
    <w:name w:val="ss_editorialcontent"/>
    <w:basedOn w:val="DefaultParagraphFont"/>
    <w:rsid w:val="00170666"/>
  </w:style>
  <w:style w:type="character" w:customStyle="1" w:styleId="UnresolvedMention">
    <w:name w:val="Unresolved Mention"/>
    <w:basedOn w:val="DefaultParagraphFont"/>
    <w:uiPriority w:val="99"/>
    <w:semiHidden/>
    <w:unhideWhenUsed/>
    <w:rsid w:val="008707FF"/>
    <w:rPr>
      <w:color w:val="605E5C"/>
      <w:shd w:val="clear" w:color="auto" w:fill="E1DFDD"/>
    </w:rPr>
  </w:style>
  <w:style w:type="paragraph" w:customStyle="1" w:styleId="Single">
    <w:name w:val="Single"/>
    <w:next w:val="Normal"/>
    <w:link w:val="SingleChar"/>
    <w:qFormat/>
    <w:rsid w:val="00D23DD3"/>
    <w:pPr>
      <w:spacing w:line="225" w:lineRule="exact"/>
      <w:ind w:firstLine="0"/>
    </w:pPr>
    <w:rPr>
      <w:rFonts w:ascii="Bookman Old Style" w:eastAsia="Times New Roman" w:hAnsi="Bookman Old Style" w:cs="Times New Roman"/>
      <w:sz w:val="26"/>
      <w:lang w:eastAsia="en-US"/>
    </w:rPr>
  </w:style>
  <w:style w:type="character" w:customStyle="1" w:styleId="SingleChar">
    <w:name w:val="Single Char"/>
    <w:basedOn w:val="DefaultParagraphFont"/>
    <w:link w:val="Single"/>
    <w:rsid w:val="00D23DD3"/>
    <w:rPr>
      <w:rFonts w:ascii="Bookman Old Style" w:eastAsia="Times New Roman" w:hAnsi="Bookman Old Style" w:cs="Times New Roman"/>
      <w:sz w:val="26"/>
      <w:lang w:eastAsia="en-US"/>
    </w:rPr>
  </w:style>
  <w:style w:type="paragraph" w:customStyle="1" w:styleId="CaseMotionInfo">
    <w:name w:val="Case &amp; Motion Info"/>
    <w:basedOn w:val="Single"/>
    <w:link w:val="CaseMotionInfoChar"/>
    <w:rsid w:val="00D23DD3"/>
    <w:pPr>
      <w:ind w:left="532"/>
    </w:pPr>
  </w:style>
  <w:style w:type="character" w:customStyle="1" w:styleId="CaseMotionInfoChar">
    <w:name w:val="Case &amp; Motion Info Char"/>
    <w:basedOn w:val="SingleChar"/>
    <w:link w:val="CaseMotionInfo"/>
    <w:rsid w:val="00D23DD3"/>
    <w:rPr>
      <w:rFonts w:ascii="Bookman Old Style" w:eastAsia="Times New Roman" w:hAnsi="Bookman Old Style" w:cs="Times New Roman"/>
      <w:sz w:val="26"/>
      <w:lang w:eastAsia="en-US"/>
    </w:rPr>
  </w:style>
  <w:style w:type="paragraph" w:customStyle="1" w:styleId="Half">
    <w:name w:val="Half"/>
    <w:link w:val="HalfChar"/>
    <w:qFormat/>
    <w:rsid w:val="00D23DD3"/>
    <w:pPr>
      <w:spacing w:line="180" w:lineRule="exact"/>
      <w:ind w:firstLine="0"/>
    </w:pPr>
    <w:rPr>
      <w:rFonts w:ascii="Bookman Old Style" w:eastAsia="Times New Roman" w:hAnsi="Bookman Old Style" w:cs="Times New Roman"/>
      <w:sz w:val="18"/>
      <w:szCs w:val="18"/>
      <w:lang w:eastAsia="en-US"/>
    </w:rPr>
  </w:style>
  <w:style w:type="character" w:customStyle="1" w:styleId="HalfChar">
    <w:name w:val="Half Char"/>
    <w:basedOn w:val="SingleChar"/>
    <w:link w:val="Half"/>
    <w:rsid w:val="00D23DD3"/>
    <w:rPr>
      <w:rFonts w:ascii="Bookman Old Style" w:eastAsia="Times New Roman" w:hAnsi="Bookman Old Style" w:cs="Times New Roman"/>
      <w:sz w:val="18"/>
      <w:szCs w:val="18"/>
      <w:lang w:eastAsia="en-US"/>
    </w:rPr>
  </w:style>
  <w:style w:type="paragraph" w:customStyle="1" w:styleId="StyleSingleBody15ptBold">
    <w:name w:val="Style Single + +Body 15 pt Bold"/>
    <w:basedOn w:val="Single"/>
    <w:rsid w:val="00D23DD3"/>
    <w:rPr>
      <w:b/>
      <w:bCs/>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092992">
      <w:bodyDiv w:val="1"/>
      <w:marLeft w:val="0"/>
      <w:marRight w:val="0"/>
      <w:marTop w:val="0"/>
      <w:marBottom w:val="0"/>
      <w:divBdr>
        <w:top w:val="none" w:sz="0" w:space="0" w:color="auto"/>
        <w:left w:val="none" w:sz="0" w:space="0" w:color="auto"/>
        <w:bottom w:val="none" w:sz="0" w:space="0" w:color="auto"/>
        <w:right w:val="none" w:sz="0" w:space="0" w:color="auto"/>
      </w:divBdr>
    </w:div>
    <w:div w:id="1487894183">
      <w:bodyDiv w:val="1"/>
      <w:marLeft w:val="0"/>
      <w:marRight w:val="0"/>
      <w:marTop w:val="0"/>
      <w:marBottom w:val="0"/>
      <w:divBdr>
        <w:top w:val="none" w:sz="0" w:space="0" w:color="auto"/>
        <w:left w:val="none" w:sz="0" w:space="0" w:color="auto"/>
        <w:bottom w:val="none" w:sz="0" w:space="0" w:color="auto"/>
        <w:right w:val="none" w:sz="0" w:space="0" w:color="auto"/>
      </w:divBdr>
    </w:div>
    <w:div w:id="1594822984">
      <w:bodyDiv w:val="1"/>
      <w:marLeft w:val="0"/>
      <w:marRight w:val="0"/>
      <w:marTop w:val="0"/>
      <w:marBottom w:val="0"/>
      <w:divBdr>
        <w:top w:val="none" w:sz="0" w:space="0" w:color="auto"/>
        <w:left w:val="none" w:sz="0" w:space="0" w:color="auto"/>
        <w:bottom w:val="none" w:sz="0" w:space="0" w:color="auto"/>
        <w:right w:val="none" w:sz="0" w:space="0" w:color="auto"/>
      </w:divBdr>
    </w:div>
    <w:div w:id="2051178359">
      <w:bodyDiv w:val="1"/>
      <w:marLeft w:val="0"/>
      <w:marRight w:val="0"/>
      <w:marTop w:val="0"/>
      <w:marBottom w:val="0"/>
      <w:divBdr>
        <w:top w:val="none" w:sz="0" w:space="0" w:color="auto"/>
        <w:left w:val="none" w:sz="0" w:space="0" w:color="auto"/>
        <w:bottom w:val="none" w:sz="0" w:space="0" w:color="auto"/>
        <w:right w:val="none" w:sz="0" w:space="0" w:color="auto"/>
      </w:divBdr>
      <w:divsChild>
        <w:div w:id="776869502">
          <w:marLeft w:val="0"/>
          <w:marRight w:val="0"/>
          <w:marTop w:val="0"/>
          <w:marBottom w:val="0"/>
          <w:divBdr>
            <w:top w:val="none" w:sz="0" w:space="0" w:color="auto"/>
            <w:left w:val="none" w:sz="0" w:space="0" w:color="auto"/>
            <w:bottom w:val="none" w:sz="0" w:space="0" w:color="auto"/>
            <w:right w:val="none" w:sz="0" w:space="0" w:color="auto"/>
          </w:divBdr>
          <w:divsChild>
            <w:div w:id="20457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9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Encryp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ke\AppData\Roaming\Microsoft\Templates\Legal%20pleading%20paper%20(28%20lin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FC4AF3CAA74BE2AA3ACD2EEB7F1E32"/>
        <w:category>
          <w:name w:val="General"/>
          <w:gallery w:val="placeholder"/>
        </w:category>
        <w:types>
          <w:type w:val="bbPlcHdr"/>
        </w:types>
        <w:behaviors>
          <w:behavior w:val="content"/>
        </w:behaviors>
        <w:guid w:val="{A91A55D3-42C5-4D43-84E2-51876598A196}"/>
      </w:docPartPr>
      <w:docPartBody>
        <w:p w:rsidR="003663E1" w:rsidRDefault="003663E1">
          <w:pPr>
            <w:pStyle w:val="E8FC4AF3CAA74BE2AA3ACD2EEB7F1E32"/>
          </w:pPr>
          <w:r>
            <w:t>Pleading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3E1"/>
    <w:rsid w:val="003663E1"/>
    <w:rsid w:val="007369CC"/>
    <w:rsid w:val="00787B9A"/>
    <w:rsid w:val="008511BF"/>
    <w:rsid w:val="009916A5"/>
    <w:rsid w:val="00C53A82"/>
    <w:rsid w:val="00C73B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urtName">
    <w:name w:val="Court Name"/>
    <w:basedOn w:val="Normal"/>
    <w:link w:val="CourtNameChar"/>
    <w:uiPriority w:val="1"/>
    <w:qFormat/>
    <w:rsid w:val="003663E1"/>
    <w:pPr>
      <w:spacing w:before="240" w:after="0" w:line="480" w:lineRule="auto"/>
      <w:contextualSpacing/>
      <w:jc w:val="center"/>
    </w:pPr>
    <w:rPr>
      <w:caps/>
      <w:sz w:val="20"/>
      <w:szCs w:val="20"/>
      <w:lang w:eastAsia="ja-JP"/>
    </w:rPr>
  </w:style>
  <w:style w:type="character" w:customStyle="1" w:styleId="CourtNameChar">
    <w:name w:val="Court Name Char"/>
    <w:basedOn w:val="DefaultParagraphFont"/>
    <w:link w:val="CourtName"/>
    <w:uiPriority w:val="1"/>
    <w:rsid w:val="003663E1"/>
    <w:rPr>
      <w:caps/>
      <w:sz w:val="20"/>
      <w:szCs w:val="20"/>
      <w:lang w:eastAsia="ja-JP"/>
    </w:rPr>
  </w:style>
  <w:style w:type="paragraph" w:customStyle="1" w:styleId="E8FC4AF3CAA74BE2AA3ACD2EEB7F1E32">
    <w:name w:val="E8FC4AF3CAA74BE2AA3ACD2EEB7F1E32"/>
  </w:style>
  <w:style w:type="character" w:styleId="PlaceholderText">
    <w:name w:val="Placeholder Text"/>
    <w:basedOn w:val="DefaultParagraphFont"/>
    <w:uiPriority w:val="99"/>
    <w:semiHidden/>
    <w:rsid w:val="003663E1"/>
    <w:rPr>
      <w:color w:val="808080"/>
    </w:rPr>
  </w:style>
  <w:style w:type="paragraph" w:customStyle="1" w:styleId="21EB71CC577E42A6BDC35FA890229AE31">
    <w:name w:val="21EB71CC577E42A6BDC35FA890229AE31"/>
    <w:rsid w:val="003663E1"/>
    <w:pPr>
      <w:spacing w:after="0" w:line="240" w:lineRule="auto"/>
      <w:contextualSpacing/>
    </w:pPr>
    <w:rPr>
      <w:sz w:val="20"/>
      <w:szCs w:val="20"/>
      <w:lang w:eastAsia="ja-JP"/>
    </w:rPr>
  </w:style>
  <w:style w:type="paragraph" w:customStyle="1" w:styleId="CB54757FD6744BF7BA087C57F85378D21">
    <w:name w:val="CB54757FD6744BF7BA087C57F85378D21"/>
    <w:rsid w:val="003663E1"/>
    <w:pPr>
      <w:spacing w:after="0" w:line="240" w:lineRule="auto"/>
      <w:contextualSpacing/>
    </w:pPr>
    <w:rPr>
      <w:sz w:val="20"/>
      <w:szCs w:val="20"/>
      <w:lang w:eastAsia="ja-JP"/>
    </w:rPr>
  </w:style>
  <w:style w:type="paragraph" w:customStyle="1" w:styleId="EF1E6061CFDF42FCB7E66BB9DA1FC0861">
    <w:name w:val="EF1E6061CFDF42FCB7E66BB9DA1FC0861"/>
    <w:rsid w:val="003663E1"/>
    <w:pPr>
      <w:spacing w:after="0" w:line="240" w:lineRule="auto"/>
      <w:contextualSpacing/>
    </w:pPr>
    <w:rPr>
      <w:sz w:val="20"/>
      <w:szCs w:val="20"/>
      <w:lang w:eastAsia="ja-JP"/>
    </w:rPr>
  </w:style>
  <w:style w:type="paragraph" w:customStyle="1" w:styleId="1EBC9C6ECE50410D82526477254528A01">
    <w:name w:val="1EBC9C6ECE50410D82526477254528A01"/>
    <w:rsid w:val="003663E1"/>
    <w:pPr>
      <w:spacing w:after="0" w:line="240" w:lineRule="auto"/>
      <w:contextualSpacing/>
    </w:pPr>
    <w:rPr>
      <w:sz w:val="20"/>
      <w:szCs w:val="20"/>
      <w:lang w:eastAsia="ja-JP"/>
    </w:rPr>
  </w:style>
  <w:style w:type="paragraph" w:customStyle="1" w:styleId="8B17C7FB39D84045A573B2E1732151501">
    <w:name w:val="8B17C7FB39D84045A573B2E1732151501"/>
    <w:rsid w:val="003663E1"/>
    <w:pPr>
      <w:spacing w:after="0" w:line="240" w:lineRule="auto"/>
      <w:contextualSpacing/>
    </w:pPr>
    <w:rPr>
      <w:sz w:val="20"/>
      <w:szCs w:val="20"/>
      <w:lang w:eastAsia="ja-JP"/>
    </w:rPr>
  </w:style>
  <w:style w:type="paragraph" w:customStyle="1" w:styleId="8027CE6F9186493899A959E38C8E24311">
    <w:name w:val="8027CE6F9186493899A959E38C8E24311"/>
    <w:rsid w:val="003663E1"/>
    <w:pPr>
      <w:spacing w:after="0" w:line="240" w:lineRule="auto"/>
      <w:contextualSpacing/>
    </w:pPr>
    <w:rPr>
      <w:sz w:val="20"/>
      <w:szCs w:val="20"/>
      <w:lang w:eastAsia="ja-JP"/>
    </w:rPr>
  </w:style>
  <w:style w:type="paragraph" w:customStyle="1" w:styleId="7D609CEA4B544D73B87F7ACA64C563891">
    <w:name w:val="7D609CEA4B544D73B87F7ACA64C563891"/>
    <w:rsid w:val="003663E1"/>
    <w:pPr>
      <w:spacing w:before="240" w:after="0" w:line="480" w:lineRule="auto"/>
      <w:contextualSpacing/>
      <w:jc w:val="center"/>
    </w:pPr>
    <w:rPr>
      <w:caps/>
      <w:sz w:val="20"/>
      <w:szCs w:val="20"/>
      <w:lang w:eastAsia="ja-JP"/>
    </w:rPr>
  </w:style>
  <w:style w:type="paragraph" w:customStyle="1" w:styleId="F2DE3C41907A497DBA953775211CFD041">
    <w:name w:val="F2DE3C41907A497DBA953775211CFD041"/>
    <w:rsid w:val="003663E1"/>
    <w:pPr>
      <w:spacing w:before="240" w:after="0" w:line="480" w:lineRule="auto"/>
      <w:contextualSpacing/>
      <w:jc w:val="center"/>
    </w:pPr>
    <w:rPr>
      <w:caps/>
      <w:sz w:val="20"/>
      <w:szCs w:val="20"/>
      <w:lang w:eastAsia="ja-JP"/>
    </w:rPr>
  </w:style>
  <w:style w:type="paragraph" w:customStyle="1" w:styleId="95E0D1CE4DCF4302A46F74F41878C4F21">
    <w:name w:val="95E0D1CE4DCF4302A46F74F41878C4F21"/>
    <w:rsid w:val="003663E1"/>
    <w:pPr>
      <w:spacing w:after="0" w:line="480" w:lineRule="auto"/>
      <w:ind w:firstLine="1440"/>
    </w:pPr>
    <w:rPr>
      <w:sz w:val="20"/>
      <w:szCs w:val="20"/>
      <w:lang w:eastAsia="ja-JP"/>
    </w:rPr>
  </w:style>
  <w:style w:type="paragraph" w:customStyle="1" w:styleId="FE504C6A37744B79A84C8D159A30BBAD1">
    <w:name w:val="FE504C6A37744B79A84C8D159A30BBAD1"/>
    <w:rsid w:val="003663E1"/>
    <w:pPr>
      <w:spacing w:after="0" w:line="480" w:lineRule="auto"/>
      <w:ind w:firstLine="1440"/>
    </w:pPr>
    <w:rPr>
      <w:sz w:val="20"/>
      <w:szCs w:val="20"/>
      <w:lang w:eastAsia="ja-JP"/>
    </w:rPr>
  </w:style>
  <w:style w:type="paragraph" w:customStyle="1" w:styleId="24AED8FFE55E4D38B111B7D24813366B1">
    <w:name w:val="24AED8FFE55E4D38B111B7D24813366B1"/>
    <w:rsid w:val="003663E1"/>
    <w:pPr>
      <w:spacing w:after="640" w:line="240" w:lineRule="auto"/>
    </w:pPr>
    <w:rPr>
      <w:sz w:val="20"/>
      <w:szCs w:val="20"/>
      <w:lang w:eastAsia="ja-JP"/>
    </w:rPr>
  </w:style>
  <w:style w:type="paragraph" w:customStyle="1" w:styleId="BB86FA376FA04DC6B5AEC5DDC841E1451">
    <w:name w:val="BB86FA376FA04DC6B5AEC5DDC841E1451"/>
    <w:rsid w:val="003663E1"/>
    <w:pPr>
      <w:spacing w:after="640" w:line="240" w:lineRule="auto"/>
    </w:pPr>
    <w:rPr>
      <w:sz w:val="20"/>
      <w:szCs w:val="20"/>
      <w:lang w:eastAsia="ja-JP"/>
    </w:rPr>
  </w:style>
  <w:style w:type="paragraph" w:customStyle="1" w:styleId="89E5E9EEDAE24C4ABB1D7F78520EAF711">
    <w:name w:val="89E5E9EEDAE24C4ABB1D7F78520EAF711"/>
    <w:rsid w:val="003663E1"/>
    <w:pPr>
      <w:spacing w:after="0" w:line="240" w:lineRule="auto"/>
    </w:pPr>
    <w:rPr>
      <w:caps/>
      <w:sz w:val="20"/>
      <w:szCs w:val="20"/>
      <w:lang w:eastAsia="ja-JP"/>
    </w:rPr>
  </w:style>
  <w:style w:type="paragraph" w:customStyle="1" w:styleId="D52F82281CB54D4CAC4D4F0DF6D34AB61">
    <w:name w:val="D52F82281CB54D4CAC4D4F0DF6D34AB61"/>
    <w:rsid w:val="003663E1"/>
    <w:pPr>
      <w:spacing w:after="540" w:line="480" w:lineRule="auto"/>
      <w:ind w:firstLine="1440"/>
    </w:pPr>
    <w:rPr>
      <w:sz w:val="20"/>
      <w:szCs w:val="20"/>
      <w:lang w:eastAsia="ja-JP"/>
    </w:rPr>
  </w:style>
  <w:style w:type="paragraph" w:customStyle="1" w:styleId="B7E36106FB87408C9AE1EA431C64D46C1">
    <w:name w:val="B7E36106FB87408C9AE1EA431C64D46C1"/>
    <w:rsid w:val="003663E1"/>
    <w:pPr>
      <w:spacing w:after="540" w:line="480" w:lineRule="auto"/>
      <w:ind w:firstLine="1440"/>
    </w:pPr>
    <w:rPr>
      <w:sz w:val="20"/>
      <w:szCs w:val="20"/>
      <w:lang w:eastAsia="ja-JP"/>
    </w:rPr>
  </w:style>
  <w:style w:type="paragraph" w:customStyle="1" w:styleId="6697CD1FADCF4F0CB02479F850F643C61">
    <w:name w:val="6697CD1FADCF4F0CB02479F850F643C61"/>
    <w:rsid w:val="003663E1"/>
    <w:pPr>
      <w:spacing w:after="540" w:line="480" w:lineRule="auto"/>
      <w:ind w:firstLine="1440"/>
    </w:pPr>
    <w:rPr>
      <w:sz w:val="20"/>
      <w:szCs w:val="20"/>
      <w:lang w:eastAsia="ja-JP"/>
    </w:rPr>
  </w:style>
  <w:style w:type="paragraph" w:customStyle="1" w:styleId="10AA6754C2C14B61A81AA1E6741280C31">
    <w:name w:val="10AA6754C2C14B61A81AA1E6741280C31"/>
    <w:rsid w:val="003663E1"/>
    <w:pPr>
      <w:spacing w:after="540" w:line="480" w:lineRule="auto"/>
      <w:ind w:firstLine="1440"/>
    </w:pPr>
    <w:rPr>
      <w:sz w:val="20"/>
      <w:szCs w:val="20"/>
      <w:lang w:eastAsia="ja-JP"/>
    </w:rPr>
  </w:style>
  <w:style w:type="paragraph" w:customStyle="1" w:styleId="575E462E901D4AA6A4E398D8981DE0501">
    <w:name w:val="575E462E901D4AA6A4E398D8981DE0501"/>
    <w:rsid w:val="003663E1"/>
    <w:pPr>
      <w:spacing w:after="540" w:line="480" w:lineRule="auto"/>
      <w:ind w:firstLine="1440"/>
    </w:pPr>
    <w:rPr>
      <w:sz w:val="20"/>
      <w:szCs w:val="20"/>
      <w:lang w:eastAsia="ja-JP"/>
    </w:rPr>
  </w:style>
  <w:style w:type="paragraph" w:customStyle="1" w:styleId="E316D5F56B5E47B7AC7CD3C8B0A7182F1">
    <w:name w:val="E316D5F56B5E47B7AC7CD3C8B0A7182F1"/>
    <w:rsid w:val="003663E1"/>
    <w:pPr>
      <w:spacing w:after="0" w:line="240" w:lineRule="auto"/>
      <w:contextualSpacing/>
    </w:pPr>
    <w:rPr>
      <w:sz w:val="20"/>
      <w:szCs w:val="20"/>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Alphabet letters flash cards">
  <a:themeElements>
    <a:clrScheme name="Slipstream">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25856E-4855-4CE4-8427-07EE995E0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Legal pleading paper (28 lines).dotx</Template>
  <TotalTime>1</TotalTime>
  <Pages>21</Pages>
  <Words>3823</Words>
  <Characters>21797</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Motion to modify release conditions</vt:lpstr>
    </vt:vector>
  </TitlesOfParts>
  <Company/>
  <LinksUpToDate>false</LinksUpToDate>
  <CharactersWithSpaces>25569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Motion to modify release conditions</dc:title>
  <dc:creator>Burke</dc:creator>
  <cp:lastModifiedBy>Crystal Lamb</cp:lastModifiedBy>
  <cp:revision>2</cp:revision>
  <cp:lastPrinted>2020-10-29T20:06:00Z</cp:lastPrinted>
  <dcterms:created xsi:type="dcterms:W3CDTF">2020-11-05T19:26:00Z</dcterms:created>
  <dcterms:modified xsi:type="dcterms:W3CDTF">2020-11-05T19:26:00Z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