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B40" w:rsidRPr="00F75B40" w:rsidRDefault="00F75B40" w:rsidP="00F75B40">
      <w:pPr>
        <w:jc w:val="center"/>
        <w:rPr>
          <w:rFonts w:ascii="Georgia" w:hAnsi="Georgia"/>
          <w:b/>
          <w:bCs/>
          <w:u w:val="single"/>
        </w:rPr>
      </w:pPr>
      <w:r w:rsidRPr="00F75B40">
        <w:rPr>
          <w:rFonts w:ascii="Georgia" w:hAnsi="Georgia"/>
          <w:b/>
          <w:bCs/>
          <w:u w:val="single"/>
        </w:rPr>
        <w:t>MEMORANDUM</w:t>
      </w:r>
    </w:p>
    <w:p w:rsidR="00F75B40" w:rsidRPr="00F75B40" w:rsidRDefault="00F75B40" w:rsidP="00F75B40">
      <w:pPr>
        <w:rPr>
          <w:rFonts w:ascii="Georgia" w:hAnsi="Georgia"/>
        </w:rPr>
      </w:pPr>
    </w:p>
    <w:p w:rsidR="00F75B40" w:rsidRPr="00F75B40" w:rsidRDefault="00F75B40" w:rsidP="00F75B40">
      <w:pPr>
        <w:rPr>
          <w:rFonts w:ascii="Georgia" w:hAnsi="Georgia"/>
        </w:rPr>
      </w:pPr>
    </w:p>
    <w:p w:rsidR="00F75B40" w:rsidRDefault="00F75B40" w:rsidP="00F75B40">
      <w:pPr>
        <w:spacing w:line="480" w:lineRule="auto"/>
        <w:contextualSpacing/>
        <w:rPr>
          <w:rFonts w:ascii="Georgia" w:hAnsi="Georgia"/>
        </w:rPr>
      </w:pPr>
      <w:r w:rsidRPr="00F75B40">
        <w:rPr>
          <w:rFonts w:ascii="Georgia" w:hAnsi="Georgia"/>
        </w:rPr>
        <w:t>Re:</w:t>
      </w:r>
      <w:r w:rsidRPr="00F75B40">
        <w:rPr>
          <w:rFonts w:ascii="Georgia" w:hAnsi="Georgia"/>
        </w:rPr>
        <w:tab/>
      </w:r>
      <w:r>
        <w:rPr>
          <w:rFonts w:ascii="Georgia" w:hAnsi="Georgia"/>
        </w:rPr>
        <w:tab/>
      </w:r>
      <w:r w:rsidRPr="00F75B40">
        <w:rPr>
          <w:rFonts w:ascii="Georgia" w:hAnsi="Georgia"/>
          <w:i/>
          <w:iCs/>
        </w:rPr>
        <w:t>In re Humphrey</w:t>
      </w:r>
      <w:r w:rsidR="00B37D6B">
        <w:rPr>
          <w:rFonts w:ascii="Georgia" w:hAnsi="Georgia"/>
        </w:rPr>
        <w:t>;</w:t>
      </w:r>
      <w:r w:rsidRPr="00F75B40">
        <w:rPr>
          <w:rFonts w:ascii="Georgia" w:hAnsi="Georgia"/>
        </w:rPr>
        <w:t xml:space="preserve"> Clear and Convincing Evidence Standard</w:t>
      </w:r>
    </w:p>
    <w:p w:rsidR="008623DC" w:rsidRDefault="00F75B40" w:rsidP="00F75B40">
      <w:pPr>
        <w:pStyle w:val="Footer"/>
        <w:spacing w:line="480" w:lineRule="auto"/>
        <w:contextualSpacing/>
        <w:rPr>
          <w:rFonts w:ascii="Georgia" w:hAnsi="Georgia"/>
        </w:rPr>
      </w:pPr>
      <w:r w:rsidRPr="00F75B40">
        <w:rPr>
          <w:rFonts w:ascii="Georgia" w:hAnsi="Georgia"/>
        </w:rPr>
        <w:tab/>
        <w:t xml:space="preserve">The California Supreme Court in </w:t>
      </w:r>
      <w:r w:rsidRPr="00F75B40">
        <w:rPr>
          <w:rFonts w:ascii="Georgia" w:hAnsi="Georgia"/>
          <w:i/>
          <w:iCs/>
        </w:rPr>
        <w:t>In re Humphrey</w:t>
      </w:r>
      <w:r w:rsidRPr="00F75B40">
        <w:rPr>
          <w:rFonts w:ascii="Georgia" w:hAnsi="Georgia"/>
        </w:rPr>
        <w:t xml:space="preserve"> held that pretrial detention is constrained by state and federal constitutional equal protection and due process considerations</w:t>
      </w:r>
      <w:r w:rsidRPr="00F75B40">
        <w:rPr>
          <w:rStyle w:val="FootnoteReference"/>
          <w:rFonts w:ascii="Georgia" w:hAnsi="Georgia"/>
        </w:rPr>
        <w:footnoteReference w:id="1"/>
      </w:r>
      <w:r w:rsidRPr="00F75B40">
        <w:rPr>
          <w:rFonts w:ascii="Georgia" w:hAnsi="Georgia"/>
        </w:rPr>
        <w:t xml:space="preserve"> and, as such, “courts must consider an arrestee’s ability to pay alongside the efficacy of less restrictive alternatives when setting bail</w:t>
      </w:r>
      <w:r>
        <w:rPr>
          <w:rFonts w:ascii="Georgia" w:hAnsi="Georgia"/>
        </w:rPr>
        <w:t xml:space="preserve"> . . .</w:t>
      </w:r>
      <w:r w:rsidRPr="00F75B40">
        <w:rPr>
          <w:rFonts w:ascii="Georgia" w:hAnsi="Georgia"/>
        </w:rPr>
        <w:t>”</w:t>
      </w:r>
      <w:r w:rsidRPr="00F75B40">
        <w:rPr>
          <w:rStyle w:val="FootnoteReference"/>
          <w:rFonts w:ascii="Georgia" w:hAnsi="Georgia"/>
        </w:rPr>
        <w:footnoteReference w:id="2"/>
      </w:r>
      <w:r>
        <w:rPr>
          <w:rFonts w:ascii="Georgia" w:hAnsi="Georgia"/>
        </w:rPr>
        <w:t xml:space="preserve">  </w:t>
      </w:r>
      <w:r w:rsidR="008623DC">
        <w:rPr>
          <w:rFonts w:ascii="Georgia" w:hAnsi="Georgia"/>
        </w:rPr>
        <w:t>The Court held that:</w:t>
      </w:r>
    </w:p>
    <w:p w:rsidR="008623DC" w:rsidRDefault="008623DC" w:rsidP="008623DC">
      <w:pPr>
        <w:pStyle w:val="Footer"/>
        <w:numPr>
          <w:ilvl w:val="0"/>
          <w:numId w:val="15"/>
        </w:numPr>
        <w:spacing w:line="480" w:lineRule="auto"/>
        <w:contextualSpacing/>
        <w:rPr>
          <w:rFonts w:ascii="Georgia" w:hAnsi="Georgia"/>
        </w:rPr>
      </w:pPr>
      <w:r>
        <w:rPr>
          <w:rFonts w:ascii="Georgia" w:hAnsi="Georgia"/>
        </w:rPr>
        <w:t>the practice of conditioning an arrestee’s liberty on whether they can afford bail is unconstitutional;</w:t>
      </w:r>
      <w:r>
        <w:rPr>
          <w:rStyle w:val="FootnoteReference"/>
          <w:rFonts w:ascii="Georgia" w:hAnsi="Georgia"/>
        </w:rPr>
        <w:footnoteReference w:id="3"/>
      </w:r>
      <w:r>
        <w:rPr>
          <w:rFonts w:ascii="Georgia" w:hAnsi="Georgia"/>
        </w:rPr>
        <w:t xml:space="preserve"> </w:t>
      </w:r>
    </w:p>
    <w:p w:rsidR="00F75B40" w:rsidRDefault="008623DC" w:rsidP="008623DC">
      <w:pPr>
        <w:pStyle w:val="Footer"/>
        <w:numPr>
          <w:ilvl w:val="0"/>
          <w:numId w:val="15"/>
        </w:numPr>
        <w:spacing w:line="480" w:lineRule="auto"/>
        <w:contextualSpacing/>
        <w:rPr>
          <w:rFonts w:ascii="Georgia" w:hAnsi="Georgia"/>
        </w:rPr>
      </w:pPr>
      <w:r>
        <w:rPr>
          <w:rFonts w:ascii="Georgia" w:hAnsi="Georgia"/>
        </w:rPr>
        <w:t>courts must consider an arrestee’s ability to pay when setting bail;</w:t>
      </w:r>
      <w:r>
        <w:rPr>
          <w:rStyle w:val="FootnoteReference"/>
          <w:rFonts w:ascii="Georgia" w:hAnsi="Georgia"/>
        </w:rPr>
        <w:footnoteReference w:id="4"/>
      </w:r>
      <w:r>
        <w:rPr>
          <w:rFonts w:ascii="Georgia" w:hAnsi="Georgia"/>
        </w:rPr>
        <w:t xml:space="preserve"> and</w:t>
      </w:r>
    </w:p>
    <w:p w:rsidR="00F75B40" w:rsidRPr="008623DC" w:rsidRDefault="008623DC" w:rsidP="008623DC">
      <w:pPr>
        <w:pStyle w:val="Footer"/>
        <w:numPr>
          <w:ilvl w:val="0"/>
          <w:numId w:val="15"/>
        </w:numPr>
        <w:spacing w:line="480" w:lineRule="auto"/>
        <w:contextualSpacing/>
        <w:rPr>
          <w:rFonts w:ascii="Georgia" w:hAnsi="Georgia"/>
        </w:rPr>
      </w:pPr>
      <w:r>
        <w:rPr>
          <w:rFonts w:ascii="Georgia" w:hAnsi="Georgia"/>
        </w:rPr>
        <w:t>when making bail determinations, courts must undertake an individualized consideration of relevant factors (seriousness of charged offense, history of compliance with court orders, criminal record, etc.).</w:t>
      </w:r>
      <w:r>
        <w:rPr>
          <w:rStyle w:val="FootnoteReference"/>
          <w:rFonts w:ascii="Georgia" w:hAnsi="Georgia"/>
        </w:rPr>
        <w:footnoteReference w:id="5"/>
      </w:r>
    </w:p>
    <w:p w:rsidR="008623DC" w:rsidRDefault="008623DC" w:rsidP="008623DC">
      <w:pPr>
        <w:spacing w:line="480" w:lineRule="auto"/>
        <w:rPr>
          <w:rFonts w:ascii="Georgia" w:hAnsi="Georgia"/>
        </w:rPr>
      </w:pPr>
      <w:r>
        <w:rPr>
          <w:rFonts w:ascii="Georgia" w:hAnsi="Georgia"/>
        </w:rPr>
        <w:t xml:space="preserve">The Court also addressed the standard for determining when an arrestee may be held in pretrial custody: when the court has made an individualized determination that “detention is necessary to protect victim or public safety, or ensure the defendant’s appearance, and there is </w:t>
      </w:r>
      <w:r w:rsidRPr="008623DC">
        <w:rPr>
          <w:rFonts w:ascii="Georgia" w:hAnsi="Georgia"/>
          <w:i/>
          <w:iCs/>
        </w:rPr>
        <w:t>clear and convincing evidence</w:t>
      </w:r>
      <w:r>
        <w:rPr>
          <w:rFonts w:ascii="Georgia" w:hAnsi="Georgia"/>
        </w:rPr>
        <w:t xml:space="preserve"> that no less restrictive alternative will reasonably vindicate those interests.”</w:t>
      </w:r>
      <w:r>
        <w:rPr>
          <w:rStyle w:val="FootnoteReference"/>
          <w:rFonts w:ascii="Georgia" w:hAnsi="Georgia"/>
        </w:rPr>
        <w:footnoteReference w:id="6"/>
      </w:r>
      <w:r>
        <w:rPr>
          <w:rFonts w:ascii="Georgia" w:hAnsi="Georgia"/>
        </w:rPr>
        <w:t xml:space="preserve">  However, the Court does not provide further clarity on what “clear and convincing evidence” means in the context of bail determinations.  </w:t>
      </w:r>
      <w:r w:rsidRPr="0052114B">
        <w:rPr>
          <w:rFonts w:ascii="Georgia" w:hAnsi="Georgia"/>
        </w:rPr>
        <w:t xml:space="preserve">This memo will explore how the </w:t>
      </w:r>
      <w:r w:rsidR="00F36A26" w:rsidRPr="0052114B">
        <w:rPr>
          <w:rFonts w:ascii="Georgia" w:hAnsi="Georgia"/>
        </w:rPr>
        <w:t xml:space="preserve">meaning of the </w:t>
      </w:r>
      <w:r w:rsidRPr="0052114B">
        <w:rPr>
          <w:rFonts w:ascii="Georgia" w:hAnsi="Georgia"/>
        </w:rPr>
        <w:t>clear and convincing evidence standard</w:t>
      </w:r>
      <w:r w:rsidR="00F36A26" w:rsidRPr="0052114B">
        <w:rPr>
          <w:rFonts w:ascii="Georgia" w:hAnsi="Georgia"/>
        </w:rPr>
        <w:t>, how it</w:t>
      </w:r>
      <w:r w:rsidRPr="0052114B">
        <w:rPr>
          <w:rFonts w:ascii="Georgia" w:hAnsi="Georgia"/>
        </w:rPr>
        <w:t xml:space="preserve"> has been applied</w:t>
      </w:r>
      <w:r w:rsidR="00F36A26" w:rsidRPr="0052114B">
        <w:rPr>
          <w:rFonts w:ascii="Georgia" w:hAnsi="Georgia"/>
        </w:rPr>
        <w:t xml:space="preserve">, </w:t>
      </w:r>
      <w:r w:rsidRPr="0052114B">
        <w:rPr>
          <w:rFonts w:ascii="Georgia" w:hAnsi="Georgia"/>
        </w:rPr>
        <w:t xml:space="preserve">and consider how it should be applied </w:t>
      </w:r>
      <w:r w:rsidR="0052114B" w:rsidRPr="0052114B">
        <w:rPr>
          <w:rFonts w:ascii="Georgia" w:hAnsi="Georgia"/>
        </w:rPr>
        <w:t>in bail determination hearings when considering police reports</w:t>
      </w:r>
      <w:r w:rsidRPr="0052114B">
        <w:rPr>
          <w:rFonts w:ascii="Georgia" w:hAnsi="Georgia"/>
        </w:rPr>
        <w:t>.</w:t>
      </w:r>
    </w:p>
    <w:p w:rsidR="008623DC" w:rsidRDefault="008623DC" w:rsidP="008623DC">
      <w:pPr>
        <w:pStyle w:val="ListParagraph"/>
        <w:numPr>
          <w:ilvl w:val="0"/>
          <w:numId w:val="16"/>
        </w:numPr>
        <w:spacing w:line="480" w:lineRule="auto"/>
        <w:rPr>
          <w:rFonts w:ascii="Georgia" w:hAnsi="Georgia"/>
        </w:rPr>
      </w:pPr>
      <w:r>
        <w:rPr>
          <w:rFonts w:ascii="Georgia" w:hAnsi="Georgia"/>
        </w:rPr>
        <w:t>Clear and Convincing Evidence Standard</w:t>
      </w:r>
    </w:p>
    <w:p w:rsidR="008623DC" w:rsidRDefault="008623DC" w:rsidP="008623DC">
      <w:pPr>
        <w:spacing w:line="480" w:lineRule="auto"/>
        <w:rPr>
          <w:rFonts w:ascii="Georgia" w:hAnsi="Georgia"/>
        </w:rPr>
      </w:pPr>
      <w:r>
        <w:rPr>
          <w:rFonts w:ascii="Georgia" w:hAnsi="Georgia"/>
        </w:rPr>
        <w:tab/>
        <w:t>California Welfare and Institutions Code section 361(c) provides that “A dependent child shall not be taken from the physical custody of his or her parents . . . unless the juvenile court finds clear and convincing evidence . . .”</w:t>
      </w:r>
      <w:r>
        <w:rPr>
          <w:rStyle w:val="FootnoteReference"/>
          <w:rFonts w:ascii="Georgia" w:hAnsi="Georgia"/>
        </w:rPr>
        <w:footnoteReference w:id="7"/>
      </w:r>
      <w:r>
        <w:rPr>
          <w:rFonts w:ascii="Georgia" w:hAnsi="Georgia"/>
        </w:rPr>
        <w:t xml:space="preserve"> of certain delineated circumstances, such as a “substantial danger to the physical health, safety, protection, or physical well-being of the minor if the minor were returned home . . .”</w:t>
      </w:r>
      <w:r>
        <w:rPr>
          <w:rStyle w:val="FootnoteReference"/>
          <w:rFonts w:ascii="Georgia" w:hAnsi="Georgia"/>
        </w:rPr>
        <w:footnoteReference w:id="8"/>
      </w:r>
      <w:r>
        <w:rPr>
          <w:rFonts w:ascii="Georgia" w:hAnsi="Georgia"/>
        </w:rPr>
        <w:t xml:space="preserve">  A number of cases have interpreted the meaning of “clear and convincing evidence” in this context.  It is a standard that requires “a high probability, </w:t>
      </w:r>
      <w:r w:rsidRPr="0047520A">
        <w:rPr>
          <w:rFonts w:ascii="Georgia" w:hAnsi="Georgia"/>
        </w:rPr>
        <w:t>such that the evidence is so clear as to leave no substantial doubt.</w:t>
      </w:r>
      <w:r>
        <w:rPr>
          <w:rFonts w:ascii="Georgia" w:hAnsi="Georgia"/>
        </w:rPr>
        <w:t>”</w:t>
      </w:r>
      <w:r>
        <w:rPr>
          <w:rStyle w:val="FootnoteReference"/>
          <w:rFonts w:ascii="Georgia" w:hAnsi="Georgia"/>
        </w:rPr>
        <w:footnoteReference w:id="9"/>
      </w:r>
      <w:r>
        <w:rPr>
          <w:rFonts w:ascii="Georgia" w:hAnsi="Georgia"/>
        </w:rPr>
        <w:t xml:space="preserve">  Clear and convincing evidence must be “</w:t>
      </w:r>
      <w:r w:rsidRPr="0047520A">
        <w:rPr>
          <w:rFonts w:ascii="Georgia" w:hAnsi="Georgia"/>
        </w:rPr>
        <w:t>sufficiently strong to command the unhesitating assent of every reasonable mind.</w:t>
      </w:r>
      <w:r>
        <w:rPr>
          <w:rFonts w:ascii="Georgia" w:hAnsi="Georgia"/>
        </w:rPr>
        <w:t>”</w:t>
      </w:r>
      <w:r>
        <w:rPr>
          <w:rStyle w:val="FootnoteReference"/>
          <w:rFonts w:ascii="Georgia" w:hAnsi="Georgia"/>
        </w:rPr>
        <w:footnoteReference w:id="10"/>
      </w:r>
      <w:r>
        <w:rPr>
          <w:rFonts w:ascii="Georgia" w:hAnsi="Georgia"/>
        </w:rPr>
        <w:t xml:space="preserve">  </w:t>
      </w:r>
    </w:p>
    <w:p w:rsidR="008623DC" w:rsidRDefault="008623DC" w:rsidP="008623DC">
      <w:pPr>
        <w:spacing w:line="480" w:lineRule="auto"/>
        <w:rPr>
          <w:rFonts w:ascii="Georgia" w:hAnsi="Georgia"/>
        </w:rPr>
      </w:pPr>
      <w:r>
        <w:rPr>
          <w:rFonts w:ascii="Georgia" w:hAnsi="Georgia"/>
        </w:rPr>
        <w:tab/>
        <w:t>The standard is generally applied to circumstances “‘where particularly important individual interests or rights are at stake,’ such as the termination of parental rights, involuntary commitment, and deportation.”</w:t>
      </w:r>
      <w:r>
        <w:rPr>
          <w:rStyle w:val="FootnoteReference"/>
          <w:rFonts w:ascii="Georgia" w:hAnsi="Georgia"/>
        </w:rPr>
        <w:footnoteReference w:id="11"/>
      </w:r>
      <w:r>
        <w:rPr>
          <w:rFonts w:ascii="Georgia" w:hAnsi="Georgia"/>
        </w:rPr>
        <w:t xml:space="preserve">  In a conservatorship case exploring the import of the clear and convincing evidence standard of proof, the California Supreme Court characterized it as “demand[ing] a degree of certainty greater than that involved with the preponderance standard, but less than what is required by the standard of proof beyond a reasonable doubt.  This intermediate standard ‘requires a finding of high probability.”</w:t>
      </w:r>
      <w:r>
        <w:rPr>
          <w:rStyle w:val="FootnoteReference"/>
          <w:rFonts w:ascii="Georgia" w:hAnsi="Georgia"/>
        </w:rPr>
        <w:footnoteReference w:id="12"/>
      </w:r>
      <w:r>
        <w:rPr>
          <w:rFonts w:ascii="Georgia" w:hAnsi="Georgia"/>
        </w:rPr>
        <w:t xml:space="preserve">  With these interpretation in tow, it is clear that the use of police reports in bail determination hearings do not rise to the level of “high probability” that the clear and convincing standard of proof requires.</w:t>
      </w:r>
    </w:p>
    <w:p w:rsidR="008623DC" w:rsidRDefault="00B37D6B" w:rsidP="008623DC">
      <w:pPr>
        <w:pStyle w:val="ListParagraph"/>
        <w:numPr>
          <w:ilvl w:val="0"/>
          <w:numId w:val="16"/>
        </w:numPr>
        <w:spacing w:line="480" w:lineRule="auto"/>
        <w:rPr>
          <w:rFonts w:ascii="Georgia" w:hAnsi="Georgia"/>
        </w:rPr>
      </w:pPr>
      <w:r>
        <w:rPr>
          <w:rFonts w:ascii="Georgia" w:hAnsi="Georgia"/>
        </w:rPr>
        <w:t xml:space="preserve">Reliance on </w:t>
      </w:r>
      <w:r w:rsidR="008623DC">
        <w:rPr>
          <w:rFonts w:ascii="Georgia" w:hAnsi="Georgia"/>
        </w:rPr>
        <w:t xml:space="preserve">Police Reports </w:t>
      </w:r>
      <w:r>
        <w:rPr>
          <w:rFonts w:ascii="Georgia" w:hAnsi="Georgia"/>
        </w:rPr>
        <w:t>in Bail Determination Hearings Does Not Satisfy</w:t>
      </w:r>
      <w:r w:rsidR="008623DC">
        <w:rPr>
          <w:rFonts w:ascii="Georgia" w:hAnsi="Georgia"/>
        </w:rPr>
        <w:t xml:space="preserve"> </w:t>
      </w:r>
      <w:r>
        <w:rPr>
          <w:rFonts w:ascii="Georgia" w:hAnsi="Georgia"/>
        </w:rPr>
        <w:t xml:space="preserve">the </w:t>
      </w:r>
      <w:r w:rsidR="008623DC">
        <w:rPr>
          <w:rFonts w:ascii="Georgia" w:hAnsi="Georgia"/>
        </w:rPr>
        <w:t>Clear and Convincing Evidence</w:t>
      </w:r>
      <w:r>
        <w:rPr>
          <w:rFonts w:ascii="Georgia" w:hAnsi="Georgia"/>
        </w:rPr>
        <w:t xml:space="preserve"> Standard</w:t>
      </w:r>
    </w:p>
    <w:p w:rsidR="00C6789C" w:rsidRDefault="008623DC" w:rsidP="00C6789C">
      <w:pPr>
        <w:spacing w:line="480" w:lineRule="auto"/>
        <w:rPr>
          <w:rFonts w:ascii="Georgia" w:hAnsi="Georgia"/>
        </w:rPr>
      </w:pPr>
      <w:r>
        <w:rPr>
          <w:rFonts w:ascii="Georgia" w:hAnsi="Georgia"/>
        </w:rPr>
        <w:tab/>
        <w:t xml:space="preserve">A police report relied on by counsel as evidence during a bail determination hearing, without more, does not meet the high probability threshold required by the clear and convincing evidence standard.  </w:t>
      </w:r>
      <w:r w:rsidR="00C6789C">
        <w:rPr>
          <w:rFonts w:ascii="Georgia" w:hAnsi="Georgia"/>
        </w:rPr>
        <w:t>In order to meet the clear and convincing evidence standard, bail determinations should be made pursuant to formal evidentiary hearings.</w:t>
      </w:r>
    </w:p>
    <w:p w:rsidR="00F36A26" w:rsidRPr="00F36A26" w:rsidRDefault="00F36A26" w:rsidP="00F36A26">
      <w:pPr>
        <w:pStyle w:val="ListParagraph"/>
        <w:numPr>
          <w:ilvl w:val="0"/>
          <w:numId w:val="20"/>
        </w:numPr>
        <w:spacing w:line="480" w:lineRule="auto"/>
        <w:rPr>
          <w:rFonts w:ascii="Georgia" w:hAnsi="Georgia"/>
          <w:i/>
          <w:iCs/>
        </w:rPr>
      </w:pPr>
      <w:r w:rsidRPr="00F36A26">
        <w:rPr>
          <w:rFonts w:ascii="Georgia" w:hAnsi="Georgia"/>
          <w:i/>
          <w:iCs/>
        </w:rPr>
        <w:t>Admissibility of Police Reports</w:t>
      </w:r>
    </w:p>
    <w:p w:rsidR="004C4C2C" w:rsidRDefault="00F36A26" w:rsidP="008623DC">
      <w:pPr>
        <w:spacing w:line="480" w:lineRule="auto"/>
        <w:rPr>
          <w:rFonts w:ascii="Georgia" w:hAnsi="Georgia"/>
        </w:rPr>
      </w:pPr>
      <w:r>
        <w:rPr>
          <w:rFonts w:ascii="Georgia" w:hAnsi="Georgia"/>
        </w:rPr>
        <w:tab/>
      </w:r>
      <w:r w:rsidR="00C6789C">
        <w:rPr>
          <w:rFonts w:ascii="Georgia" w:hAnsi="Georgia"/>
        </w:rPr>
        <w:t>As</w:t>
      </w:r>
      <w:r w:rsidR="008623DC">
        <w:rPr>
          <w:rFonts w:ascii="Georgia" w:hAnsi="Georgia"/>
        </w:rPr>
        <w:t xml:space="preserve"> a general rule, police reports are inadmissible under the business records exception: the U.S. Supreme Court has held that regularly conducted business activity for the purpose of producing evidence for use at trial does not fall under the business records exception to the hearsay rule.</w:t>
      </w:r>
      <w:r w:rsidR="008623DC">
        <w:rPr>
          <w:rStyle w:val="FootnoteReference"/>
          <w:rFonts w:ascii="Georgia" w:hAnsi="Georgia"/>
        </w:rPr>
        <w:footnoteReference w:id="13"/>
      </w:r>
      <w:r w:rsidR="008623DC">
        <w:rPr>
          <w:rFonts w:ascii="Georgia" w:hAnsi="Georgia"/>
        </w:rPr>
        <w:t xml:space="preserve">  </w:t>
      </w:r>
    </w:p>
    <w:p w:rsidR="001808B0" w:rsidRDefault="004C4C2C" w:rsidP="008623DC">
      <w:pPr>
        <w:spacing w:line="480" w:lineRule="auto"/>
        <w:rPr>
          <w:rFonts w:ascii="Georgia" w:hAnsi="Georgia"/>
        </w:rPr>
      </w:pPr>
      <w:r>
        <w:rPr>
          <w:rFonts w:ascii="Georgia" w:hAnsi="Georgia"/>
        </w:rPr>
        <w:tab/>
        <w:t>The</w:t>
      </w:r>
      <w:r w:rsidR="008623DC">
        <w:rPr>
          <w:rFonts w:ascii="Georgia" w:hAnsi="Georgia"/>
        </w:rPr>
        <w:t xml:space="preserve"> public records exception to the hearsay rule</w:t>
      </w:r>
      <w:r>
        <w:rPr>
          <w:rFonts w:ascii="Georgia" w:hAnsi="Georgia"/>
        </w:rPr>
        <w:t xml:space="preserve"> is less </w:t>
      </w:r>
      <w:r w:rsidR="00193995">
        <w:rPr>
          <w:rFonts w:ascii="Georgia" w:hAnsi="Georgia"/>
        </w:rPr>
        <w:t>straightforward</w:t>
      </w:r>
      <w:r>
        <w:rPr>
          <w:rFonts w:ascii="Georgia" w:hAnsi="Georgia"/>
        </w:rPr>
        <w:t xml:space="preserve">.  </w:t>
      </w:r>
      <w:r w:rsidR="00193995" w:rsidRPr="004C4C2C">
        <w:rPr>
          <w:rFonts w:ascii="Georgia" w:hAnsi="Georgia"/>
        </w:rPr>
        <w:t>In</w:t>
      </w:r>
      <w:r w:rsidR="00193995">
        <w:rPr>
          <w:rFonts w:ascii="Georgia" w:hAnsi="Georgia"/>
        </w:rPr>
        <w:t xml:space="preserve"> addition to being made within the scope of duty and close in time to an act, condition, or event, the California Evidence Code’s official records exception to the hearsay rule requires that the “sources of information and method and time of preparation [of a written record] were such as to indicate its trustworthiness.”</w:t>
      </w:r>
      <w:r w:rsidR="00193995">
        <w:rPr>
          <w:rStyle w:val="FootnoteReference"/>
          <w:rFonts w:ascii="Georgia" w:hAnsi="Georgia"/>
        </w:rPr>
        <w:footnoteReference w:id="14"/>
      </w:r>
      <w:r w:rsidR="00193995">
        <w:rPr>
          <w:rFonts w:ascii="Georgia" w:hAnsi="Georgia"/>
        </w:rPr>
        <w:t xml:space="preserve">  </w:t>
      </w:r>
      <w:r>
        <w:rPr>
          <w:rFonts w:ascii="Georgia" w:hAnsi="Georgia"/>
        </w:rPr>
        <w:t xml:space="preserve">In </w:t>
      </w:r>
      <w:r>
        <w:rPr>
          <w:rFonts w:ascii="Georgia" w:hAnsi="Georgia"/>
          <w:i/>
          <w:iCs/>
        </w:rPr>
        <w:t xml:space="preserve">Imachi v. Department of Motor </w:t>
      </w:r>
      <w:r w:rsidRPr="004C4C2C">
        <w:rPr>
          <w:rFonts w:ascii="Georgia" w:hAnsi="Georgia"/>
          <w:i/>
          <w:iCs/>
        </w:rPr>
        <w:t>Vehicles</w:t>
      </w:r>
      <w:r>
        <w:rPr>
          <w:rFonts w:ascii="Georgia" w:hAnsi="Georgia"/>
        </w:rPr>
        <w:t xml:space="preserve">, the </w:t>
      </w:r>
      <w:r w:rsidR="00193995">
        <w:rPr>
          <w:rFonts w:ascii="Georgia" w:hAnsi="Georgia"/>
        </w:rPr>
        <w:t>C</w:t>
      </w:r>
      <w:r>
        <w:rPr>
          <w:rFonts w:ascii="Georgia" w:hAnsi="Georgia"/>
        </w:rPr>
        <w:t xml:space="preserve">ourt held that </w:t>
      </w:r>
      <w:r w:rsidR="008623DC" w:rsidRPr="004C4C2C">
        <w:rPr>
          <w:rFonts w:ascii="Georgia" w:hAnsi="Georgia"/>
        </w:rPr>
        <w:t>an</w:t>
      </w:r>
      <w:r w:rsidR="008623DC">
        <w:rPr>
          <w:rFonts w:ascii="Georgia" w:hAnsi="Georgia"/>
        </w:rPr>
        <w:t xml:space="preserve"> officer’s statement</w:t>
      </w:r>
      <w:r>
        <w:rPr>
          <w:rFonts w:ascii="Georgia" w:hAnsi="Georgia"/>
        </w:rPr>
        <w:t xml:space="preserve"> </w:t>
      </w:r>
      <w:r w:rsidR="008623DC">
        <w:rPr>
          <w:rFonts w:ascii="Georgia" w:hAnsi="Georgia"/>
        </w:rPr>
        <w:t>fall</w:t>
      </w:r>
      <w:r>
        <w:rPr>
          <w:rFonts w:ascii="Georgia" w:hAnsi="Georgia"/>
        </w:rPr>
        <w:t>s</w:t>
      </w:r>
      <w:r w:rsidR="008623DC">
        <w:rPr>
          <w:rFonts w:ascii="Georgia" w:hAnsi="Georgia"/>
        </w:rPr>
        <w:t xml:space="preserve"> within </w:t>
      </w:r>
      <w:r>
        <w:rPr>
          <w:rFonts w:ascii="Georgia" w:hAnsi="Georgia"/>
        </w:rPr>
        <w:t xml:space="preserve">the public records </w:t>
      </w:r>
      <w:r w:rsidR="008623DC">
        <w:rPr>
          <w:rFonts w:ascii="Georgia" w:hAnsi="Georgia"/>
        </w:rPr>
        <w:t>exception “to the extent that it reports the officer’s firsthand observations.”</w:t>
      </w:r>
      <w:r w:rsidR="008623DC">
        <w:rPr>
          <w:rStyle w:val="FootnoteReference"/>
          <w:rFonts w:ascii="Georgia" w:hAnsi="Georgia"/>
        </w:rPr>
        <w:footnoteReference w:id="15"/>
      </w:r>
      <w:r w:rsidR="008623DC">
        <w:rPr>
          <w:rFonts w:ascii="Georgia" w:hAnsi="Georgia"/>
        </w:rPr>
        <w:t xml:space="preserve">  </w:t>
      </w:r>
      <w:r>
        <w:rPr>
          <w:rFonts w:ascii="Georgia" w:hAnsi="Georgia"/>
        </w:rPr>
        <w:t xml:space="preserve">In </w:t>
      </w:r>
      <w:r>
        <w:rPr>
          <w:rFonts w:ascii="Georgia" w:hAnsi="Georgia"/>
          <w:i/>
          <w:iCs/>
        </w:rPr>
        <w:t xml:space="preserve">Gananian v. </w:t>
      </w:r>
      <w:r w:rsidRPr="004C4C2C">
        <w:rPr>
          <w:rFonts w:ascii="Georgia" w:hAnsi="Georgia"/>
          <w:i/>
          <w:iCs/>
        </w:rPr>
        <w:t>Zolin</w:t>
      </w:r>
      <w:r>
        <w:rPr>
          <w:rFonts w:ascii="Georgia" w:hAnsi="Georgia"/>
        </w:rPr>
        <w:t xml:space="preserve">, the </w:t>
      </w:r>
      <w:r w:rsidR="00193995">
        <w:rPr>
          <w:rFonts w:ascii="Georgia" w:hAnsi="Georgia"/>
        </w:rPr>
        <w:t>C</w:t>
      </w:r>
      <w:r>
        <w:rPr>
          <w:rFonts w:ascii="Georgia" w:hAnsi="Georgia"/>
        </w:rPr>
        <w:t xml:space="preserve">ourt declined to follow </w:t>
      </w:r>
      <w:r>
        <w:rPr>
          <w:rFonts w:ascii="Georgia" w:hAnsi="Georgia"/>
          <w:i/>
          <w:iCs/>
        </w:rPr>
        <w:t>Imachi</w:t>
      </w:r>
      <w:r>
        <w:rPr>
          <w:rFonts w:ascii="Georgia" w:hAnsi="Georgia"/>
        </w:rPr>
        <w:t>’s narrow conception of the public records exception, finding that an officer’s sworn report that included the personal observations of another officer was admissible as a public employee record.</w:t>
      </w:r>
      <w:r>
        <w:rPr>
          <w:rStyle w:val="FootnoteReference"/>
          <w:rFonts w:ascii="Georgia" w:hAnsi="Georgia"/>
        </w:rPr>
        <w:footnoteReference w:id="16"/>
      </w:r>
      <w:r>
        <w:rPr>
          <w:rFonts w:ascii="Georgia" w:hAnsi="Georgia"/>
        </w:rPr>
        <w:t xml:space="preserve">  The Court in </w:t>
      </w:r>
      <w:r>
        <w:rPr>
          <w:rFonts w:ascii="Georgia" w:hAnsi="Georgia"/>
          <w:i/>
          <w:iCs/>
        </w:rPr>
        <w:t>Gananian</w:t>
      </w:r>
      <w:r w:rsidR="006751F4">
        <w:rPr>
          <w:rFonts w:ascii="Georgia" w:hAnsi="Georgia"/>
        </w:rPr>
        <w:t xml:space="preserve">, relying on </w:t>
      </w:r>
      <w:r w:rsidR="006751F4">
        <w:rPr>
          <w:rFonts w:ascii="Georgia" w:hAnsi="Georgia"/>
          <w:i/>
          <w:iCs/>
        </w:rPr>
        <w:t>People v. Baeske</w:t>
      </w:r>
      <w:r w:rsidR="006751F4">
        <w:rPr>
          <w:rFonts w:ascii="Georgia" w:hAnsi="Georgia"/>
        </w:rPr>
        <w:t>,</w:t>
      </w:r>
      <w:r>
        <w:rPr>
          <w:rFonts w:ascii="Georgia" w:hAnsi="Georgia"/>
        </w:rPr>
        <w:t xml:space="preserve"> described the trustworthiness requirement as being fulfilled upon “a showing that the written </w:t>
      </w:r>
      <w:r w:rsidRPr="004C4C2C">
        <w:rPr>
          <w:rFonts w:ascii="Georgia" w:hAnsi="Georgia"/>
          <w:b/>
          <w:bCs/>
        </w:rPr>
        <w:t>report</w:t>
      </w:r>
      <w:r>
        <w:rPr>
          <w:rFonts w:ascii="Georgia" w:hAnsi="Georgia"/>
        </w:rPr>
        <w:t xml:space="preserve"> is based upon the observations of public employees who have a </w:t>
      </w:r>
      <w:r>
        <w:rPr>
          <w:rFonts w:ascii="Georgia" w:hAnsi="Georgia"/>
          <w:i/>
          <w:iCs/>
        </w:rPr>
        <w:t>duty</w:t>
      </w:r>
      <w:r>
        <w:rPr>
          <w:rFonts w:ascii="Georgia" w:hAnsi="Georgia"/>
        </w:rPr>
        <w:t xml:space="preserve"> to observe the facts and </w:t>
      </w:r>
      <w:r>
        <w:rPr>
          <w:rFonts w:ascii="Georgia" w:hAnsi="Georgia"/>
          <w:b/>
          <w:bCs/>
        </w:rPr>
        <w:t>report</w:t>
      </w:r>
      <w:r>
        <w:rPr>
          <w:rFonts w:ascii="Georgia" w:hAnsi="Georgia"/>
        </w:rPr>
        <w:t xml:space="preserve"> and record them correctly.”</w:t>
      </w:r>
      <w:r>
        <w:rPr>
          <w:rStyle w:val="FootnoteReference"/>
          <w:rFonts w:ascii="Georgia" w:hAnsi="Georgia"/>
        </w:rPr>
        <w:footnoteReference w:id="17"/>
      </w:r>
      <w:r w:rsidR="00C6789C">
        <w:rPr>
          <w:rFonts w:ascii="Georgia" w:hAnsi="Georgia"/>
        </w:rPr>
        <w:t xml:space="preserve">  A </w:t>
      </w:r>
      <w:r w:rsidR="006751F4">
        <w:rPr>
          <w:rFonts w:ascii="Georgia" w:hAnsi="Georgia"/>
        </w:rPr>
        <w:t xml:space="preserve">public employee’s written record that is informed by information obtained from persons who are not public employees generally does not meet the trustworthiness </w:t>
      </w:r>
      <w:r w:rsidR="00193995">
        <w:rPr>
          <w:rFonts w:ascii="Georgia" w:hAnsi="Georgia"/>
        </w:rPr>
        <w:t>requirement and is inadmissible</w:t>
      </w:r>
      <w:r w:rsidR="006751F4">
        <w:rPr>
          <w:rFonts w:ascii="Georgia" w:hAnsi="Georgia"/>
        </w:rPr>
        <w:t>.</w:t>
      </w:r>
      <w:r w:rsidR="006751F4">
        <w:rPr>
          <w:rStyle w:val="FootnoteReference"/>
          <w:rFonts w:ascii="Georgia" w:hAnsi="Georgia"/>
        </w:rPr>
        <w:footnoteReference w:id="18"/>
      </w:r>
      <w:r w:rsidR="00C6789C">
        <w:rPr>
          <w:rFonts w:ascii="Georgia" w:hAnsi="Georgia"/>
        </w:rPr>
        <w:t xml:space="preserve">  </w:t>
      </w:r>
    </w:p>
    <w:p w:rsidR="00193995" w:rsidRDefault="001808B0" w:rsidP="008623DC">
      <w:pPr>
        <w:spacing w:line="480" w:lineRule="auto"/>
        <w:rPr>
          <w:rFonts w:ascii="Georgia" w:hAnsi="Georgia"/>
        </w:rPr>
      </w:pPr>
      <w:r>
        <w:rPr>
          <w:rFonts w:ascii="Georgia" w:hAnsi="Georgia"/>
        </w:rPr>
        <w:tab/>
      </w:r>
      <w:r w:rsidR="00C6789C">
        <w:rPr>
          <w:rFonts w:ascii="Georgia" w:hAnsi="Georgia"/>
        </w:rPr>
        <w:t>Further</w:t>
      </w:r>
      <w:r w:rsidR="00193995">
        <w:rPr>
          <w:rFonts w:ascii="Georgia" w:hAnsi="Georgia"/>
        </w:rPr>
        <w:t>, the California Public Records Act exempts from disclosure a large portion of law enforcement records: “Records of complaints to, or investigations conducted by, or records of intelligence information or security procedures of . . . any state or local police agency . . . [and] that portion of those investigative files that reflect the analysis or conclusions of the investigating officer . . .” are not obtainable.</w:t>
      </w:r>
      <w:r w:rsidR="00193995">
        <w:rPr>
          <w:rStyle w:val="FootnoteReference"/>
          <w:rFonts w:ascii="Georgia" w:hAnsi="Georgia"/>
        </w:rPr>
        <w:footnoteReference w:id="19"/>
      </w:r>
    </w:p>
    <w:p w:rsidR="00F36A26" w:rsidRDefault="00F36A26" w:rsidP="008623DC">
      <w:pPr>
        <w:spacing w:line="480" w:lineRule="auto"/>
        <w:rPr>
          <w:rFonts w:ascii="Georgia" w:hAnsi="Georgia"/>
        </w:rPr>
      </w:pPr>
      <w:r>
        <w:rPr>
          <w:rFonts w:ascii="Georgia" w:hAnsi="Georgia"/>
        </w:rPr>
        <w:tab/>
        <w:t xml:space="preserve">There is also evidence to suggest that police officers not only fabricate reports and in-court testimony but, when they are found to credibly have done so by a judge, they are not subsequently penalized for their behavior by </w:t>
      </w:r>
      <w:r w:rsidR="0052114B">
        <w:rPr>
          <w:rFonts w:ascii="Georgia" w:hAnsi="Georgia"/>
        </w:rPr>
        <w:t xml:space="preserve">their </w:t>
      </w:r>
      <w:r>
        <w:rPr>
          <w:rFonts w:ascii="Georgia" w:hAnsi="Georgia"/>
        </w:rPr>
        <w:t>superiors within law enforcement.</w:t>
      </w:r>
      <w:r>
        <w:rPr>
          <w:rStyle w:val="FootnoteReference"/>
          <w:rFonts w:ascii="Georgia" w:hAnsi="Georgia"/>
        </w:rPr>
        <w:footnoteReference w:id="20"/>
      </w:r>
      <w:r w:rsidR="00572756">
        <w:rPr>
          <w:rFonts w:ascii="Georgia" w:hAnsi="Georgia"/>
        </w:rPr>
        <w:t xml:space="preserve">  </w:t>
      </w:r>
      <w:r w:rsidR="0052114B">
        <w:rPr>
          <w:rFonts w:ascii="Georgia" w:hAnsi="Georgia"/>
        </w:rPr>
        <w:t>In one recent example of misconduct, U.S. District Judge Charles Breyer described the testimony of SFPD officer Nicholas Buckley—which was later contradicted by video footage—as “criminal contempt,” “an epic fantasy,” and a “prolonged, false, and ultimately non-responsive testimony [that] thwarted an effective hearing and wasted the Court’s time.”</w:t>
      </w:r>
      <w:r w:rsidR="0052114B">
        <w:rPr>
          <w:rStyle w:val="FootnoteReference"/>
          <w:rFonts w:ascii="Georgia" w:hAnsi="Georgia"/>
        </w:rPr>
        <w:footnoteReference w:id="21"/>
      </w:r>
      <w:r w:rsidR="0052114B">
        <w:rPr>
          <w:rFonts w:ascii="Georgia" w:hAnsi="Georgia"/>
        </w:rPr>
        <w:t xml:space="preserve">  The Court declined to hold Buckley in criminal contempt, instead transferring transcripts of Buckley’s testimony to the San Francisco Police Department for administrative review and deferring to a government perjury investigation.</w:t>
      </w:r>
      <w:r w:rsidR="0052114B">
        <w:rPr>
          <w:rStyle w:val="FootnoteReference"/>
          <w:rFonts w:ascii="Georgia" w:hAnsi="Georgia"/>
        </w:rPr>
        <w:footnoteReference w:id="22"/>
      </w:r>
      <w:r w:rsidR="0052114B">
        <w:rPr>
          <w:rFonts w:ascii="Georgia" w:hAnsi="Georgia"/>
        </w:rPr>
        <w:t xml:space="preserve">  Federal authorities ultimately closed the perjury investigation without bringing charges and Buckley was returned to patrol duty by the SFPD without punishment for his falsifications.</w:t>
      </w:r>
      <w:r w:rsidR="0052114B">
        <w:rPr>
          <w:rStyle w:val="FootnoteReference"/>
          <w:rFonts w:ascii="Georgia" w:hAnsi="Georgia"/>
        </w:rPr>
        <w:footnoteReference w:id="23"/>
      </w:r>
      <w:r w:rsidR="0052114B">
        <w:rPr>
          <w:rFonts w:ascii="Georgia" w:hAnsi="Georgia"/>
        </w:rPr>
        <w:t xml:space="preserve">  Indeed, a nationwide study of abuse of police authority conducted by the Police Foundation with support from the U.S. Department of Justice, found that a majority of officers (52.4 percent) agree or strongly agree that “it is not unusual for officers to ‘turn a blind eye’ to other officers’ improper conduct” and, further, that “6 in 10 (61 percent) indicated that police officers do not always report even serious criminal violations that involve abuse of authority by fellow officers.”</w:t>
      </w:r>
      <w:r w:rsidR="0052114B">
        <w:rPr>
          <w:rStyle w:val="FootnoteReference"/>
          <w:rFonts w:ascii="Georgia" w:hAnsi="Georgia"/>
        </w:rPr>
        <w:footnoteReference w:id="24"/>
      </w:r>
      <w:r w:rsidR="005C6EB0">
        <w:rPr>
          <w:rFonts w:ascii="Georgia" w:hAnsi="Georgia"/>
        </w:rPr>
        <w:t xml:space="preserve">  </w:t>
      </w:r>
      <w:r w:rsidR="005C6EB0" w:rsidRPr="0052114B">
        <w:rPr>
          <w:rFonts w:ascii="Georgia" w:hAnsi="Georgia"/>
        </w:rPr>
        <w:t>This lack of strong oversight calls into question the incentive for rigorous and accurate reporting practices in law enforcement, particularly when flagrant misrepresentation goes unchecked.</w:t>
      </w:r>
    </w:p>
    <w:p w:rsidR="00F36A26" w:rsidRPr="00F36A26" w:rsidRDefault="00F36A26" w:rsidP="00F36A26">
      <w:pPr>
        <w:pStyle w:val="ListParagraph"/>
        <w:numPr>
          <w:ilvl w:val="0"/>
          <w:numId w:val="20"/>
        </w:numPr>
        <w:spacing w:line="480" w:lineRule="auto"/>
        <w:rPr>
          <w:rFonts w:ascii="Georgia" w:hAnsi="Georgia"/>
        </w:rPr>
      </w:pPr>
      <w:r>
        <w:rPr>
          <w:rFonts w:ascii="Georgia" w:hAnsi="Georgia"/>
          <w:i/>
          <w:iCs/>
        </w:rPr>
        <w:t>Statements by Counsel</w:t>
      </w:r>
    </w:p>
    <w:p w:rsidR="00F36A26" w:rsidRDefault="00F36A26" w:rsidP="008623DC">
      <w:pPr>
        <w:spacing w:line="480" w:lineRule="auto"/>
        <w:rPr>
          <w:rFonts w:ascii="Georgia" w:hAnsi="Georgia"/>
        </w:rPr>
      </w:pPr>
      <w:r>
        <w:rPr>
          <w:rFonts w:ascii="Georgia" w:hAnsi="Georgia"/>
        </w:rPr>
        <w:tab/>
      </w:r>
      <w:r w:rsidR="005C6EB0">
        <w:rPr>
          <w:rFonts w:ascii="Georgia" w:hAnsi="Georgia"/>
        </w:rPr>
        <w:t>U</w:t>
      </w:r>
      <w:r>
        <w:rPr>
          <w:rFonts w:ascii="Georgia" w:hAnsi="Georgia"/>
        </w:rPr>
        <w:t>nsworn statements made by counsel do not constitute evidence.</w:t>
      </w:r>
      <w:r>
        <w:rPr>
          <w:rStyle w:val="FootnoteReference"/>
          <w:rFonts w:ascii="Georgia" w:hAnsi="Georgia"/>
        </w:rPr>
        <w:footnoteReference w:id="25"/>
      </w:r>
      <w:r>
        <w:rPr>
          <w:rFonts w:ascii="Georgia" w:hAnsi="Georgia"/>
        </w:rPr>
        <w:t xml:space="preserve">  Evidence is defined as “testimony, writings, material objects, or other things presented to the senses that are offered to prove the existence or nonexistence of a fact.”</w:t>
      </w:r>
      <w:r>
        <w:rPr>
          <w:rStyle w:val="FootnoteReference"/>
          <w:rFonts w:ascii="Georgia" w:hAnsi="Georgia"/>
        </w:rPr>
        <w:footnoteReference w:id="26"/>
      </w:r>
      <w:r>
        <w:rPr>
          <w:rFonts w:ascii="Georgia" w:hAnsi="Georgia"/>
        </w:rPr>
        <w:t xml:space="preserve">  The Evidence Code requires that “[e]very witness before testifying shall take an oath or make an affirmation or declaration . . .”</w:t>
      </w:r>
      <w:r>
        <w:rPr>
          <w:rStyle w:val="FootnoteReference"/>
          <w:rFonts w:ascii="Georgia" w:hAnsi="Georgia"/>
        </w:rPr>
        <w:footnoteReference w:id="27"/>
      </w:r>
      <w:r>
        <w:rPr>
          <w:rFonts w:ascii="Georgia" w:hAnsi="Georgia"/>
        </w:rPr>
        <w:t xml:space="preserve">  As “testimony” means statements given under oath, statements made by counsel are not evidence.</w:t>
      </w:r>
      <w:r>
        <w:rPr>
          <w:rStyle w:val="FootnoteReference"/>
          <w:rFonts w:ascii="Georgia" w:hAnsi="Georgia"/>
        </w:rPr>
        <w:footnoteReference w:id="28"/>
      </w:r>
      <w:r>
        <w:rPr>
          <w:rFonts w:ascii="Georgia" w:hAnsi="Georgia"/>
        </w:rPr>
        <w:t xml:space="preserve">  Thus, taken together with the discussion on police reports above, a</w:t>
      </w:r>
      <w:r w:rsidR="005C6EB0">
        <w:rPr>
          <w:rFonts w:ascii="Georgia" w:hAnsi="Georgia"/>
        </w:rPr>
        <w:t xml:space="preserve"> district </w:t>
      </w:r>
      <w:r>
        <w:rPr>
          <w:rFonts w:ascii="Georgia" w:hAnsi="Georgia"/>
        </w:rPr>
        <w:t>attorney’s unsworn statements during a bail determination hearing that are recitations of police reports and not informed by personal knowledge cannot suffice to meet the</w:t>
      </w:r>
      <w:r w:rsidR="005C6EB0">
        <w:rPr>
          <w:rFonts w:ascii="Georgia" w:hAnsi="Georgia"/>
        </w:rPr>
        <w:t xml:space="preserve"> </w:t>
      </w:r>
      <w:r>
        <w:rPr>
          <w:rFonts w:ascii="Georgia" w:hAnsi="Georgia"/>
        </w:rPr>
        <w:t xml:space="preserve">threshold for clear and convincing evidence.  A formal evidentiary hearing is required during bail determinations to thoroughly examine the </w:t>
      </w:r>
      <w:r w:rsidR="005C6EB0">
        <w:rPr>
          <w:rFonts w:ascii="Georgia" w:hAnsi="Georgia"/>
        </w:rPr>
        <w:t>veracity of the content</w:t>
      </w:r>
      <w:r>
        <w:rPr>
          <w:rFonts w:ascii="Georgia" w:hAnsi="Georgia"/>
        </w:rPr>
        <w:t xml:space="preserve"> within police reports and to bring the use of them up to the </w:t>
      </w:r>
      <w:r w:rsidR="005C6EB0">
        <w:rPr>
          <w:rFonts w:ascii="Georgia" w:hAnsi="Georgia"/>
        </w:rPr>
        <w:t xml:space="preserve">high </w:t>
      </w:r>
      <w:r>
        <w:rPr>
          <w:rFonts w:ascii="Georgia" w:hAnsi="Georgia"/>
        </w:rPr>
        <w:t xml:space="preserve">standard of </w:t>
      </w:r>
      <w:r w:rsidR="005C6EB0">
        <w:rPr>
          <w:rFonts w:ascii="Georgia" w:hAnsi="Georgia"/>
        </w:rPr>
        <w:t>clear</w:t>
      </w:r>
      <w:r>
        <w:rPr>
          <w:rFonts w:ascii="Georgia" w:hAnsi="Georgia"/>
        </w:rPr>
        <w:t xml:space="preserve"> and convincing evidence of proof.</w:t>
      </w:r>
    </w:p>
    <w:p w:rsidR="00F36A26" w:rsidRDefault="005C6EB0" w:rsidP="00F36A26">
      <w:pPr>
        <w:pStyle w:val="ListParagraph"/>
        <w:numPr>
          <w:ilvl w:val="0"/>
          <w:numId w:val="16"/>
        </w:numPr>
        <w:spacing w:line="480" w:lineRule="auto"/>
        <w:rPr>
          <w:rFonts w:ascii="Georgia" w:hAnsi="Georgia"/>
        </w:rPr>
      </w:pPr>
      <w:r>
        <w:rPr>
          <w:rFonts w:ascii="Georgia" w:hAnsi="Georgia"/>
        </w:rPr>
        <w:t>Assuming the Truth of Criminal Charges and the</w:t>
      </w:r>
      <w:r w:rsidR="00F36A26">
        <w:rPr>
          <w:rFonts w:ascii="Georgia" w:hAnsi="Georgia"/>
        </w:rPr>
        <w:t xml:space="preserve"> Presumption of Innocence</w:t>
      </w:r>
    </w:p>
    <w:p w:rsidR="005C6EB0" w:rsidRDefault="00F36A26" w:rsidP="00F36A26">
      <w:pPr>
        <w:spacing w:line="480" w:lineRule="auto"/>
        <w:rPr>
          <w:rFonts w:ascii="Georgia" w:hAnsi="Georgia"/>
        </w:rPr>
      </w:pPr>
      <w:r>
        <w:rPr>
          <w:rFonts w:ascii="Georgia" w:hAnsi="Georgia"/>
        </w:rPr>
        <w:tab/>
        <w:t xml:space="preserve">The Court in </w:t>
      </w:r>
      <w:r>
        <w:rPr>
          <w:rFonts w:ascii="Georgia" w:hAnsi="Georgia"/>
          <w:i/>
          <w:iCs/>
        </w:rPr>
        <w:t>In re Humphrey</w:t>
      </w:r>
      <w:r w:rsidR="005C6EB0">
        <w:rPr>
          <w:rFonts w:ascii="Georgia" w:hAnsi="Georgia"/>
        </w:rPr>
        <w:t xml:space="preserve">, </w:t>
      </w:r>
      <w:r>
        <w:rPr>
          <w:rFonts w:ascii="Georgia" w:hAnsi="Georgia"/>
        </w:rPr>
        <w:t>notes that, “[a]long with those primary conditions of victim and public safety, the court must assume the truth of the criminal charges.”</w:t>
      </w:r>
      <w:r>
        <w:rPr>
          <w:rStyle w:val="FootnoteReference"/>
          <w:rFonts w:ascii="Georgia" w:hAnsi="Georgia"/>
        </w:rPr>
        <w:footnoteReference w:id="29"/>
      </w:r>
      <w:r>
        <w:rPr>
          <w:rFonts w:ascii="Georgia" w:hAnsi="Georgia"/>
        </w:rPr>
        <w:t xml:space="preserve">  The decisions </w:t>
      </w:r>
      <w:r w:rsidR="005C6EB0">
        <w:rPr>
          <w:rFonts w:ascii="Georgia" w:hAnsi="Georgia"/>
        </w:rPr>
        <w:t xml:space="preserve">the Court relies in proceeding as such—decisions </w:t>
      </w:r>
      <w:r>
        <w:rPr>
          <w:rFonts w:ascii="Georgia" w:hAnsi="Georgia"/>
        </w:rPr>
        <w:t xml:space="preserve">written in the late nineteenth and early twentieth </w:t>
      </w:r>
      <w:r w:rsidR="005C6EB0">
        <w:rPr>
          <w:rFonts w:ascii="Georgia" w:hAnsi="Georgia"/>
        </w:rPr>
        <w:t>centuries—</w:t>
      </w:r>
      <w:r>
        <w:rPr>
          <w:rFonts w:ascii="Georgia" w:hAnsi="Georgia"/>
        </w:rPr>
        <w:t xml:space="preserve">merit reconsideration.  </w:t>
      </w:r>
      <w:r w:rsidR="005C6EB0">
        <w:rPr>
          <w:rFonts w:ascii="Georgia" w:hAnsi="Georgia"/>
        </w:rPr>
        <w:t xml:space="preserve">The first case the Court cites, </w:t>
      </w:r>
      <w:r w:rsidR="005C6EB0">
        <w:rPr>
          <w:rFonts w:ascii="Georgia" w:hAnsi="Georgia"/>
          <w:i/>
          <w:iCs/>
        </w:rPr>
        <w:t>Ex Parte Duncan</w:t>
      </w:r>
      <w:r w:rsidR="005C6EB0">
        <w:rPr>
          <w:rFonts w:ascii="Georgia" w:hAnsi="Georgia"/>
        </w:rPr>
        <w:t xml:space="preserve">, simply takes as “the settled rule” the reasoning in a prior decision, </w:t>
      </w:r>
      <w:r w:rsidR="005C6EB0">
        <w:rPr>
          <w:rFonts w:ascii="Georgia" w:hAnsi="Georgia"/>
          <w:i/>
          <w:iCs/>
        </w:rPr>
        <w:t>Ex Parte Ryan</w:t>
      </w:r>
      <w:r w:rsidR="005C6EB0">
        <w:rPr>
          <w:rFonts w:ascii="Georgia" w:hAnsi="Georgia"/>
        </w:rPr>
        <w:t>, which found that “the presumption of guilt arises against [a] prisoner upon the finding of an indictment against him . . .”</w:t>
      </w:r>
      <w:r w:rsidR="005C6EB0">
        <w:rPr>
          <w:rStyle w:val="FootnoteReference"/>
          <w:rFonts w:ascii="Georgia" w:hAnsi="Georgia"/>
        </w:rPr>
        <w:footnoteReference w:id="30"/>
      </w:r>
      <w:r w:rsidR="005C6EB0">
        <w:rPr>
          <w:rFonts w:ascii="Georgia" w:hAnsi="Georgia"/>
        </w:rPr>
        <w:t xml:space="preserve">  The brief opinion in </w:t>
      </w:r>
      <w:r w:rsidR="005C6EB0">
        <w:rPr>
          <w:rFonts w:ascii="Georgia" w:hAnsi="Georgia"/>
          <w:i/>
          <w:iCs/>
        </w:rPr>
        <w:t xml:space="preserve">Ex Parte </w:t>
      </w:r>
      <w:r w:rsidR="005C6EB0" w:rsidRPr="005C6EB0">
        <w:rPr>
          <w:rFonts w:ascii="Georgia" w:hAnsi="Georgia"/>
          <w:i/>
          <w:iCs/>
        </w:rPr>
        <w:t>Duncan</w:t>
      </w:r>
      <w:r w:rsidR="005C6EB0">
        <w:rPr>
          <w:rFonts w:ascii="Georgia" w:hAnsi="Georgia"/>
        </w:rPr>
        <w:t xml:space="preserve"> does not explore the issue further.  The Court in </w:t>
      </w:r>
      <w:r w:rsidR="005C6EB0">
        <w:rPr>
          <w:rFonts w:ascii="Georgia" w:hAnsi="Georgia"/>
          <w:i/>
          <w:iCs/>
        </w:rPr>
        <w:t>Ex Parte Ryan</w:t>
      </w:r>
      <w:r w:rsidR="005C6EB0">
        <w:rPr>
          <w:rFonts w:ascii="Georgia" w:hAnsi="Georgia"/>
        </w:rPr>
        <w:t>, an excessive bail case and similarly brief in its elaboration on the topic of presuming the truth of the criminal charges, dealt with circumstances in which little to no evidence had been proffered on behalf of the detained individual before the San Francisco Police Court and which the California Supreme Court, regardless, refused to consider.</w:t>
      </w:r>
      <w:r w:rsidR="005C6EB0">
        <w:rPr>
          <w:rStyle w:val="FootnoteReference"/>
          <w:rFonts w:ascii="Georgia" w:hAnsi="Georgia"/>
        </w:rPr>
        <w:footnoteReference w:id="31"/>
      </w:r>
      <w:r w:rsidR="005C6EB0">
        <w:rPr>
          <w:rFonts w:ascii="Georgia" w:hAnsi="Georgia"/>
        </w:rPr>
        <w:t xml:space="preserve">  The extent of the Court’s discussion concerning the presumption of guilt is the following:</w:t>
      </w:r>
    </w:p>
    <w:p w:rsidR="005C6EB0" w:rsidRPr="005C6EB0" w:rsidRDefault="005C6EB0" w:rsidP="005C6EB0">
      <w:pPr>
        <w:spacing w:line="480" w:lineRule="auto"/>
        <w:ind w:right="1350"/>
        <w:jc w:val="both"/>
        <w:rPr>
          <w:rFonts w:ascii="Georgia" w:hAnsi="Georgia"/>
        </w:rPr>
      </w:pPr>
      <w:r>
        <w:rPr>
          <w:rFonts w:ascii="Georgia" w:hAnsi="Georgia"/>
        </w:rPr>
        <w:tab/>
      </w:r>
      <w:r w:rsidRPr="005C6EB0">
        <w:rPr>
          <w:rFonts w:ascii="Georgia" w:hAnsi="Georgia"/>
        </w:rPr>
        <w:t xml:space="preserve">Under the circumstances, even in view of the action of the Police </w:t>
      </w:r>
      <w:r>
        <w:rPr>
          <w:rFonts w:ascii="Georgia" w:hAnsi="Georgia"/>
        </w:rPr>
        <w:tab/>
      </w:r>
      <w:r w:rsidRPr="005C6EB0">
        <w:rPr>
          <w:rFonts w:ascii="Georgia" w:hAnsi="Georgia"/>
        </w:rPr>
        <w:t xml:space="preserve">Court, I am bound to assume his guilt for the purpose of this </w:t>
      </w:r>
      <w:r>
        <w:rPr>
          <w:rFonts w:ascii="Georgia" w:hAnsi="Georgia"/>
        </w:rPr>
        <w:tab/>
      </w:r>
      <w:r w:rsidRPr="005C6EB0">
        <w:rPr>
          <w:rFonts w:ascii="Georgia" w:hAnsi="Georgia"/>
        </w:rPr>
        <w:t xml:space="preserve">proceeding-for certainly I have here no means of determining his </w:t>
      </w:r>
      <w:r>
        <w:rPr>
          <w:rFonts w:ascii="Georgia" w:hAnsi="Georgia"/>
        </w:rPr>
        <w:tab/>
      </w:r>
      <w:r w:rsidRPr="005C6EB0">
        <w:rPr>
          <w:rFonts w:ascii="Georgia" w:hAnsi="Georgia"/>
        </w:rPr>
        <w:t xml:space="preserve">innocence-to say nothing of the principle of law that, except for the </w:t>
      </w:r>
      <w:r>
        <w:rPr>
          <w:rFonts w:ascii="Georgia" w:hAnsi="Georgia"/>
        </w:rPr>
        <w:tab/>
      </w:r>
      <w:r w:rsidRPr="005C6EB0">
        <w:rPr>
          <w:rFonts w:ascii="Georgia" w:hAnsi="Georgia"/>
        </w:rPr>
        <w:t xml:space="preserve">purpose of a fair and impartial trial before a petit jury, the </w:t>
      </w:r>
      <w:r>
        <w:rPr>
          <w:rFonts w:ascii="Georgia" w:hAnsi="Georgia"/>
        </w:rPr>
        <w:tab/>
      </w:r>
      <w:r w:rsidRPr="005C6EB0">
        <w:rPr>
          <w:rFonts w:ascii="Georgia" w:hAnsi="Georgia"/>
        </w:rPr>
        <w:t xml:space="preserve">presumption of guilt arises against the prisoner upon the finding of </w:t>
      </w:r>
      <w:r>
        <w:rPr>
          <w:rFonts w:ascii="Georgia" w:hAnsi="Georgia"/>
        </w:rPr>
        <w:tab/>
      </w:r>
      <w:r w:rsidRPr="005C6EB0">
        <w:rPr>
          <w:rFonts w:ascii="Georgia" w:hAnsi="Georgia"/>
        </w:rPr>
        <w:t>an indictment against him.</w:t>
      </w:r>
      <w:r>
        <w:rPr>
          <w:rStyle w:val="FootnoteReference"/>
          <w:rFonts w:ascii="Georgia" w:hAnsi="Georgia"/>
        </w:rPr>
        <w:footnoteReference w:id="32"/>
      </w:r>
    </w:p>
    <w:p w:rsidR="005C6EB0" w:rsidRPr="005C6EB0" w:rsidRDefault="005C6EB0" w:rsidP="00F36A26">
      <w:pPr>
        <w:spacing w:line="480" w:lineRule="auto"/>
        <w:rPr>
          <w:rFonts w:ascii="Georgia" w:hAnsi="Georgia"/>
        </w:rPr>
      </w:pPr>
      <w:r>
        <w:rPr>
          <w:rFonts w:ascii="Georgia" w:hAnsi="Georgia"/>
        </w:rPr>
        <w:t xml:space="preserve">The paucity in discussion as to why presumption of guilt is the settled rule in bail proceedings is alarming.  Indeed, the language in </w:t>
      </w:r>
      <w:r>
        <w:rPr>
          <w:rFonts w:ascii="Georgia" w:hAnsi="Georgia"/>
          <w:i/>
          <w:iCs/>
        </w:rPr>
        <w:t>Ex parte Ryan</w:t>
      </w:r>
      <w:r>
        <w:rPr>
          <w:rFonts w:ascii="Georgia" w:hAnsi="Georgia"/>
        </w:rPr>
        <w:t xml:space="preserve"> seems to indicate a situation- and case-specific decision in assuming the guilt of the detained individual (“</w:t>
      </w:r>
      <w:r>
        <w:rPr>
          <w:rFonts w:ascii="Georgia" w:hAnsi="Georgia"/>
          <w:i/>
          <w:iCs/>
        </w:rPr>
        <w:t>Under the circumstances</w:t>
      </w:r>
      <w:r>
        <w:rPr>
          <w:rFonts w:ascii="Georgia" w:hAnsi="Georgia"/>
        </w:rPr>
        <w:t xml:space="preserve"> . . . I am bound to assume his guilt for the purpose of this proceeding . . .”), though the Court goes on to cursorily mention, without citing a prior decision, a “principle of law” that gives rise to the “presumption of guilt” in certain circumstances.</w:t>
      </w:r>
      <w:r>
        <w:rPr>
          <w:rStyle w:val="FootnoteReference"/>
          <w:rFonts w:ascii="Georgia" w:hAnsi="Georgia"/>
        </w:rPr>
        <w:footnoteReference w:id="33"/>
      </w:r>
      <w:r>
        <w:rPr>
          <w:rFonts w:ascii="Georgia" w:hAnsi="Georgia"/>
        </w:rPr>
        <w:t xml:space="preserve">  </w:t>
      </w:r>
      <w:r>
        <w:rPr>
          <w:rFonts w:ascii="Georgia" w:hAnsi="Georgia"/>
          <w:i/>
          <w:iCs/>
        </w:rPr>
        <w:t xml:space="preserve">Ex parte </w:t>
      </w:r>
      <w:r w:rsidRPr="005C6EB0">
        <w:rPr>
          <w:rFonts w:ascii="Georgia" w:hAnsi="Georgia"/>
          <w:i/>
          <w:iCs/>
        </w:rPr>
        <w:t>Ruef</w:t>
      </w:r>
      <w:r>
        <w:rPr>
          <w:rFonts w:ascii="Georgia" w:hAnsi="Georgia"/>
        </w:rPr>
        <w:t xml:space="preserve">, the other case </w:t>
      </w:r>
      <w:r>
        <w:rPr>
          <w:rFonts w:ascii="Georgia" w:hAnsi="Georgia"/>
          <w:i/>
          <w:iCs/>
        </w:rPr>
        <w:t xml:space="preserve">In re </w:t>
      </w:r>
      <w:r w:rsidRPr="005C6EB0">
        <w:rPr>
          <w:rFonts w:ascii="Georgia" w:hAnsi="Georgia"/>
          <w:i/>
          <w:iCs/>
        </w:rPr>
        <w:t>Humphrey</w:t>
      </w:r>
      <w:r>
        <w:rPr>
          <w:rFonts w:ascii="Georgia" w:hAnsi="Georgia"/>
        </w:rPr>
        <w:t xml:space="preserve"> cites, similarly relies on </w:t>
      </w:r>
      <w:r>
        <w:rPr>
          <w:rFonts w:ascii="Georgia" w:hAnsi="Georgia"/>
          <w:i/>
          <w:iCs/>
        </w:rPr>
        <w:t xml:space="preserve">Ex parte </w:t>
      </w:r>
      <w:r w:rsidRPr="005C6EB0">
        <w:rPr>
          <w:rFonts w:ascii="Georgia" w:hAnsi="Georgia"/>
          <w:i/>
          <w:iCs/>
        </w:rPr>
        <w:t>Ryan</w:t>
      </w:r>
      <w:r>
        <w:rPr>
          <w:rFonts w:ascii="Georgia" w:hAnsi="Georgia"/>
        </w:rPr>
        <w:t xml:space="preserve">, as well as </w:t>
      </w:r>
      <w:r>
        <w:rPr>
          <w:rFonts w:ascii="Georgia" w:hAnsi="Georgia"/>
          <w:i/>
          <w:iCs/>
        </w:rPr>
        <w:t xml:space="preserve">Ex parte </w:t>
      </w:r>
      <w:r w:rsidRPr="005C6EB0">
        <w:rPr>
          <w:rFonts w:ascii="Georgia" w:hAnsi="Georgia"/>
          <w:i/>
          <w:iCs/>
        </w:rPr>
        <w:t>Duncan</w:t>
      </w:r>
      <w:r>
        <w:rPr>
          <w:rFonts w:ascii="Georgia" w:hAnsi="Georgia"/>
        </w:rPr>
        <w:t>, in assuming the guilt of the arrestee without further elaboration.</w:t>
      </w:r>
      <w:r>
        <w:rPr>
          <w:rStyle w:val="FootnoteReference"/>
          <w:rFonts w:ascii="Georgia" w:hAnsi="Georgia"/>
        </w:rPr>
        <w:footnoteReference w:id="34"/>
      </w:r>
      <w:r>
        <w:rPr>
          <w:rFonts w:ascii="Georgia" w:hAnsi="Georgia"/>
        </w:rPr>
        <w:t xml:space="preserve">  </w:t>
      </w:r>
      <w:r w:rsidRPr="005C6EB0">
        <w:rPr>
          <w:rFonts w:ascii="Georgia" w:hAnsi="Georgia"/>
        </w:rPr>
        <w:t>The</w:t>
      </w:r>
      <w:r>
        <w:rPr>
          <w:rFonts w:ascii="Georgia" w:hAnsi="Georgia"/>
        </w:rPr>
        <w:t xml:space="preserve"> sparseness of judicial reasoning on the issue alone should trigger a reexamination of this unquestioned rule, particularly as it implicates the accused’s “fundamental constitutional right to liberty,”</w:t>
      </w:r>
      <w:r>
        <w:rPr>
          <w:rStyle w:val="FootnoteReference"/>
          <w:rFonts w:ascii="Georgia" w:hAnsi="Georgia"/>
        </w:rPr>
        <w:footnoteReference w:id="35"/>
      </w:r>
      <w:r>
        <w:rPr>
          <w:rFonts w:ascii="Georgia" w:hAnsi="Georgia"/>
        </w:rPr>
        <w:t xml:space="preserve"> which the Court in </w:t>
      </w:r>
      <w:r>
        <w:rPr>
          <w:rFonts w:ascii="Georgia" w:hAnsi="Georgia"/>
          <w:i/>
          <w:iCs/>
        </w:rPr>
        <w:t xml:space="preserve">In re Humphrey </w:t>
      </w:r>
      <w:r>
        <w:rPr>
          <w:rFonts w:ascii="Georgia" w:hAnsi="Georgia"/>
        </w:rPr>
        <w:t>aims to protect.</w:t>
      </w:r>
    </w:p>
    <w:p w:rsidR="00F36A26" w:rsidRPr="00F36A26" w:rsidRDefault="005C6EB0" w:rsidP="00F36A26">
      <w:pPr>
        <w:spacing w:line="480" w:lineRule="auto"/>
        <w:rPr>
          <w:rFonts w:ascii="Georgia" w:hAnsi="Georgia"/>
        </w:rPr>
      </w:pPr>
      <w:r>
        <w:rPr>
          <w:rFonts w:ascii="Georgia" w:hAnsi="Georgia"/>
        </w:rPr>
        <w:tab/>
        <w:t>To that end</w:t>
      </w:r>
      <w:r w:rsidR="00F36A26">
        <w:rPr>
          <w:rFonts w:ascii="Georgia" w:hAnsi="Georgia"/>
        </w:rPr>
        <w:t>, another long-held</w:t>
      </w:r>
      <w:r>
        <w:rPr>
          <w:rFonts w:ascii="Georgia" w:hAnsi="Georgia"/>
        </w:rPr>
        <w:t xml:space="preserve"> </w:t>
      </w:r>
      <w:r w:rsidR="00F36A26">
        <w:rPr>
          <w:rFonts w:ascii="Georgia" w:hAnsi="Georgia"/>
        </w:rPr>
        <w:t xml:space="preserve">principle </w:t>
      </w:r>
      <w:r>
        <w:rPr>
          <w:rFonts w:ascii="Georgia" w:hAnsi="Georgia"/>
        </w:rPr>
        <w:t xml:space="preserve">enshrined </w:t>
      </w:r>
      <w:r w:rsidR="00F36A26">
        <w:rPr>
          <w:rFonts w:ascii="Georgia" w:hAnsi="Georgia"/>
        </w:rPr>
        <w:t>within our legal system is the presumption of innocence</w:t>
      </w:r>
      <w:r>
        <w:rPr>
          <w:rFonts w:ascii="Georgia" w:hAnsi="Georgia"/>
        </w:rPr>
        <w:t>.  The presumption of innocence, while “not articulated in the Constitution, is a basic component of a fair trial under our system of criminal justice.</w:t>
      </w:r>
      <w:r>
        <w:rPr>
          <w:rStyle w:val="FootnoteReference"/>
          <w:rFonts w:ascii="Georgia" w:hAnsi="Georgia"/>
        </w:rPr>
        <w:footnoteReference w:id="36"/>
      </w:r>
      <w:r>
        <w:rPr>
          <w:rFonts w:ascii="Georgia" w:hAnsi="Georgia"/>
        </w:rPr>
        <w:t xml:space="preserve">  In </w:t>
      </w:r>
      <w:r>
        <w:rPr>
          <w:rFonts w:ascii="Georgia" w:hAnsi="Georgia"/>
          <w:i/>
          <w:iCs/>
        </w:rPr>
        <w:t>People v. Troche</w:t>
      </w:r>
      <w:r>
        <w:rPr>
          <w:rFonts w:ascii="Georgia" w:hAnsi="Georgia"/>
        </w:rPr>
        <w:t>, the California Supreme Court characterized it as “the strongest presumption known to law . . . as much a part of our Constitution, both state and national, as if it were written therein in letters burnished in gold.”</w:t>
      </w:r>
      <w:r>
        <w:rPr>
          <w:rStyle w:val="FootnoteReference"/>
          <w:rFonts w:ascii="Georgia" w:hAnsi="Georgia"/>
        </w:rPr>
        <w:footnoteReference w:id="37"/>
      </w:r>
      <w:r>
        <w:rPr>
          <w:rFonts w:ascii="Georgia" w:hAnsi="Georgia"/>
        </w:rPr>
        <w:t xml:space="preserve">  In a late nineteenth century case, </w:t>
      </w:r>
      <w:r>
        <w:rPr>
          <w:rFonts w:ascii="Georgia" w:hAnsi="Georgia"/>
          <w:i/>
          <w:iCs/>
        </w:rPr>
        <w:t xml:space="preserve">In re Wong </w:t>
      </w:r>
      <w:r w:rsidRPr="005C6EB0">
        <w:rPr>
          <w:rFonts w:ascii="Georgia" w:hAnsi="Georgia"/>
          <w:i/>
          <w:iCs/>
        </w:rPr>
        <w:t>Hane</w:t>
      </w:r>
      <w:r>
        <w:rPr>
          <w:rFonts w:ascii="Georgia" w:hAnsi="Georgia"/>
        </w:rPr>
        <w:t>, the California Supreme Court struck down a Los Angeles ordinance that made “the mere possession of a lottery ticket a misdemeanor” and made it incumbent upon the arrestee to show that their possession was “lawful or innocent.”</w:t>
      </w:r>
      <w:r>
        <w:rPr>
          <w:rStyle w:val="FootnoteReference"/>
          <w:rFonts w:ascii="Georgia" w:hAnsi="Georgia"/>
        </w:rPr>
        <w:footnoteReference w:id="38"/>
      </w:r>
      <w:r>
        <w:rPr>
          <w:rFonts w:ascii="Georgia" w:hAnsi="Georgia"/>
        </w:rPr>
        <w:t xml:space="preserve">  In declaring the law unconstitutional, the Court held:  “If there are any circumstances under which the possession of a lottery ticket may be lawful or innocent, a defendant who is charged with the offense of having such a ticket in his possession is entitled to the presumption of innocence, and cannot be compelled to establish his innocence by affirmative proof.  To the extent that the defendant is required to establish his innocence, the provisions of the ordinance violate his constitutional rights.”</w:t>
      </w:r>
      <w:r>
        <w:rPr>
          <w:rStyle w:val="FootnoteReference"/>
          <w:rFonts w:ascii="Georgia" w:hAnsi="Georgia"/>
        </w:rPr>
        <w:footnoteReference w:id="39"/>
      </w:r>
      <w:r>
        <w:rPr>
          <w:rFonts w:ascii="Georgia" w:hAnsi="Georgia"/>
        </w:rPr>
        <w:t xml:space="preserve">  In this light, the presumption of guilt discussed above is at odds with the presumption of innocence.  The practice of p</w:t>
      </w:r>
      <w:r w:rsidR="00F36A26" w:rsidRPr="005C6EB0">
        <w:rPr>
          <w:rFonts w:ascii="Georgia" w:hAnsi="Georgia"/>
        </w:rPr>
        <w:t>resuming</w:t>
      </w:r>
      <w:r w:rsidR="00F36A26">
        <w:rPr>
          <w:rFonts w:ascii="Georgia" w:hAnsi="Georgia"/>
        </w:rPr>
        <w:t xml:space="preserve"> an arrestee’s guilt to determine if they should maintain their liberty is</w:t>
      </w:r>
      <w:r>
        <w:rPr>
          <w:rFonts w:ascii="Georgia" w:hAnsi="Georgia"/>
        </w:rPr>
        <w:t xml:space="preserve"> violative of detained individuals’ fundamental rights and</w:t>
      </w:r>
      <w:r w:rsidR="00F36A26">
        <w:rPr>
          <w:rFonts w:ascii="Georgia" w:hAnsi="Georgia"/>
        </w:rPr>
        <w:t xml:space="preserve"> completely inapposite to our constitutional presumption of innocence.</w:t>
      </w:r>
    </w:p>
    <w:p w:rsidR="00C6789C" w:rsidRDefault="00C6789C" w:rsidP="008623DC">
      <w:pPr>
        <w:spacing w:line="480" w:lineRule="auto"/>
        <w:rPr>
          <w:rFonts w:ascii="Georgia" w:hAnsi="Georgia"/>
        </w:rPr>
      </w:pPr>
      <w:r>
        <w:rPr>
          <w:rFonts w:ascii="Georgia" w:hAnsi="Georgia"/>
        </w:rPr>
        <w:tab/>
      </w:r>
    </w:p>
    <w:p w:rsidR="00C6789C" w:rsidRDefault="00C6789C" w:rsidP="008623DC">
      <w:pPr>
        <w:spacing w:line="480" w:lineRule="auto"/>
        <w:rPr>
          <w:rFonts w:ascii="Georgia" w:hAnsi="Georgia"/>
        </w:rPr>
      </w:pPr>
      <w:r>
        <w:rPr>
          <w:rFonts w:ascii="Georgia" w:hAnsi="Georgia"/>
        </w:rPr>
        <w:tab/>
      </w:r>
    </w:p>
    <w:p w:rsidR="00C6789C" w:rsidRPr="004C4C2C" w:rsidRDefault="00C6789C" w:rsidP="008623DC">
      <w:pPr>
        <w:spacing w:line="480" w:lineRule="auto"/>
        <w:rPr>
          <w:rFonts w:ascii="Georgia" w:hAnsi="Georgia"/>
        </w:rPr>
      </w:pPr>
      <w:r>
        <w:rPr>
          <w:rFonts w:ascii="Georgia" w:hAnsi="Georgia"/>
        </w:rPr>
        <w:tab/>
      </w:r>
    </w:p>
    <w:p w:rsidR="004C4C2C" w:rsidRDefault="004C4C2C" w:rsidP="008623DC">
      <w:pPr>
        <w:spacing w:line="480" w:lineRule="auto"/>
        <w:rPr>
          <w:rFonts w:ascii="Georgia" w:hAnsi="Georgia"/>
        </w:rPr>
      </w:pPr>
      <w:r>
        <w:rPr>
          <w:rFonts w:ascii="Georgia" w:hAnsi="Georgia"/>
        </w:rPr>
        <w:tab/>
      </w:r>
    </w:p>
    <w:p w:rsidR="004C4C2C" w:rsidRPr="008623DC" w:rsidRDefault="004C4C2C" w:rsidP="008623DC">
      <w:pPr>
        <w:spacing w:line="480" w:lineRule="auto"/>
        <w:rPr>
          <w:rFonts w:ascii="Georgia" w:hAnsi="Georgia"/>
        </w:rPr>
      </w:pPr>
      <w:r>
        <w:rPr>
          <w:rFonts w:ascii="Georgia" w:hAnsi="Georgia"/>
        </w:rPr>
        <w:tab/>
      </w:r>
    </w:p>
    <w:p w:rsidR="008623DC" w:rsidRDefault="008623DC" w:rsidP="008623DC">
      <w:pPr>
        <w:spacing w:line="480" w:lineRule="auto"/>
        <w:rPr>
          <w:rFonts w:ascii="Georgia" w:hAnsi="Georgia"/>
        </w:rPr>
      </w:pPr>
    </w:p>
    <w:sectPr w:rsidR="008623D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D14" w:rsidRDefault="002B5D14" w:rsidP="00DF195B">
      <w:r>
        <w:separator/>
      </w:r>
    </w:p>
  </w:endnote>
  <w:endnote w:type="continuationSeparator" w:id="0">
    <w:p w:rsidR="002B5D14" w:rsidRDefault="002B5D14" w:rsidP="00DF1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D14" w:rsidRDefault="002B5D14" w:rsidP="00DF195B">
      <w:r>
        <w:separator/>
      </w:r>
    </w:p>
  </w:footnote>
  <w:footnote w:type="continuationSeparator" w:id="0">
    <w:p w:rsidR="002B5D14" w:rsidRDefault="002B5D14" w:rsidP="00DF195B">
      <w:r>
        <w:continuationSeparator/>
      </w:r>
    </w:p>
  </w:footnote>
  <w:footnote w:id="1">
    <w:p w:rsidR="00F75B40" w:rsidRPr="008623DC" w:rsidRDefault="00F75B40" w:rsidP="00F75B40">
      <w:pPr>
        <w:rPr>
          <w:rFonts w:ascii="Georgia" w:hAnsi="Georgia"/>
          <w:color w:val="000000" w:themeColor="text1"/>
          <w:sz w:val="20"/>
          <w:szCs w:val="20"/>
        </w:rPr>
      </w:pPr>
      <w:r w:rsidRPr="008623DC">
        <w:rPr>
          <w:rStyle w:val="FootnoteReference"/>
          <w:rFonts w:ascii="Georgia" w:hAnsi="Georgia"/>
          <w:color w:val="000000" w:themeColor="text1"/>
          <w:sz w:val="20"/>
          <w:szCs w:val="20"/>
        </w:rPr>
        <w:footnoteRef/>
      </w:r>
      <w:r w:rsidRPr="008623DC">
        <w:rPr>
          <w:rFonts w:ascii="Georgia" w:hAnsi="Georgia"/>
          <w:color w:val="000000" w:themeColor="text1"/>
          <w:sz w:val="20"/>
          <w:szCs w:val="20"/>
        </w:rPr>
        <w:t xml:space="preserve"> </w:t>
      </w:r>
      <w:r w:rsidRPr="008623DC">
        <w:rPr>
          <w:rFonts w:ascii="Georgia" w:hAnsi="Georgia"/>
          <w:i/>
          <w:iCs/>
          <w:color w:val="000000" w:themeColor="text1"/>
          <w:sz w:val="20"/>
          <w:szCs w:val="20"/>
        </w:rPr>
        <w:t>In re Humphrey</w:t>
      </w:r>
      <w:r w:rsidRPr="008623DC">
        <w:rPr>
          <w:rFonts w:ascii="Georgia" w:hAnsi="Georgia"/>
          <w:color w:val="000000" w:themeColor="text1"/>
          <w:sz w:val="20"/>
          <w:szCs w:val="20"/>
        </w:rPr>
        <w:t xml:space="preserve"> (2021) 11 Cal.5th 135, </w:t>
      </w:r>
      <w:r w:rsidRPr="008623DC">
        <w:rPr>
          <w:rFonts w:ascii="Georgia" w:hAnsi="Georgia"/>
          <w:color w:val="000000" w:themeColor="text1"/>
          <w:sz w:val="20"/>
          <w:szCs w:val="20"/>
          <w:shd w:val="clear" w:color="auto" w:fill="FFFFFF"/>
        </w:rPr>
        <w:t>276 Cal.Rptr.3d 232, 238, 244.</w:t>
      </w:r>
    </w:p>
  </w:footnote>
  <w:footnote w:id="2">
    <w:p w:rsidR="00F75B40" w:rsidRPr="008623DC" w:rsidRDefault="00F75B40">
      <w:pPr>
        <w:pStyle w:val="FootnoteText"/>
        <w:rPr>
          <w:rFonts w:ascii="Georgia" w:hAnsi="Georgia"/>
          <w:color w:val="000000" w:themeColor="text1"/>
        </w:rPr>
      </w:pPr>
      <w:r w:rsidRPr="008623DC">
        <w:rPr>
          <w:rStyle w:val="FootnoteReference"/>
          <w:rFonts w:ascii="Georgia" w:hAnsi="Georgia"/>
          <w:color w:val="000000" w:themeColor="text1"/>
        </w:rPr>
        <w:footnoteRef/>
      </w:r>
      <w:r w:rsidRPr="008623DC">
        <w:rPr>
          <w:rFonts w:ascii="Georgia" w:hAnsi="Georgia"/>
          <w:color w:val="000000" w:themeColor="text1"/>
        </w:rPr>
        <w:t xml:space="preserve"> </w:t>
      </w:r>
      <w:r w:rsidRPr="008623DC">
        <w:rPr>
          <w:rFonts w:ascii="Georgia" w:hAnsi="Georgia"/>
          <w:i/>
          <w:iCs/>
          <w:color w:val="000000" w:themeColor="text1"/>
        </w:rPr>
        <w:t>Id.</w:t>
      </w:r>
      <w:r w:rsidRPr="008623DC">
        <w:rPr>
          <w:rFonts w:ascii="Georgia" w:hAnsi="Georgia"/>
          <w:color w:val="000000" w:themeColor="text1"/>
        </w:rPr>
        <w:t xml:space="preserve"> at 245.</w:t>
      </w:r>
    </w:p>
  </w:footnote>
  <w:footnote w:id="3">
    <w:p w:rsidR="008623DC" w:rsidRPr="008623DC" w:rsidRDefault="008623DC">
      <w:pPr>
        <w:pStyle w:val="FootnoteText"/>
        <w:rPr>
          <w:rFonts w:ascii="Georgia" w:hAnsi="Georgia"/>
        </w:rPr>
      </w:pPr>
      <w:r w:rsidRPr="008623DC">
        <w:rPr>
          <w:rStyle w:val="FootnoteReference"/>
          <w:rFonts w:ascii="Georgia" w:hAnsi="Georgia"/>
        </w:rPr>
        <w:footnoteRef/>
      </w:r>
      <w:r w:rsidRPr="008623DC">
        <w:rPr>
          <w:rFonts w:ascii="Georgia" w:hAnsi="Georgia"/>
        </w:rPr>
        <w:t xml:space="preserve"> </w:t>
      </w:r>
      <w:r w:rsidRPr="008623DC">
        <w:rPr>
          <w:rFonts w:ascii="Georgia" w:hAnsi="Georgia"/>
          <w:i/>
          <w:iCs/>
        </w:rPr>
        <w:t xml:space="preserve">Id. </w:t>
      </w:r>
      <w:r w:rsidRPr="008623DC">
        <w:rPr>
          <w:rFonts w:ascii="Georgia" w:hAnsi="Georgia"/>
        </w:rPr>
        <w:t>at 237.</w:t>
      </w:r>
    </w:p>
  </w:footnote>
  <w:footnote w:id="4">
    <w:p w:rsidR="008623DC" w:rsidRPr="008623DC" w:rsidRDefault="008623DC">
      <w:pPr>
        <w:pStyle w:val="FootnoteText"/>
        <w:rPr>
          <w:rFonts w:ascii="Georgia" w:hAnsi="Georgia"/>
        </w:rPr>
      </w:pPr>
      <w:r w:rsidRPr="008623DC">
        <w:rPr>
          <w:rStyle w:val="FootnoteReference"/>
          <w:rFonts w:ascii="Georgia" w:hAnsi="Georgia"/>
        </w:rPr>
        <w:footnoteRef/>
      </w:r>
      <w:r w:rsidRPr="008623DC">
        <w:rPr>
          <w:rFonts w:ascii="Georgia" w:hAnsi="Georgia"/>
        </w:rPr>
        <w:t xml:space="preserve"> </w:t>
      </w:r>
      <w:r w:rsidRPr="008623DC">
        <w:rPr>
          <w:rFonts w:ascii="Georgia" w:hAnsi="Georgia"/>
          <w:i/>
          <w:iCs/>
        </w:rPr>
        <w:t>Id.</w:t>
      </w:r>
      <w:r w:rsidRPr="008623DC">
        <w:rPr>
          <w:rFonts w:ascii="Georgia" w:hAnsi="Georgia"/>
        </w:rPr>
        <w:t xml:space="preserve"> at 246.</w:t>
      </w:r>
    </w:p>
  </w:footnote>
  <w:footnote w:id="5">
    <w:p w:rsidR="008623DC" w:rsidRPr="008623DC" w:rsidRDefault="008623DC">
      <w:pPr>
        <w:pStyle w:val="FootnoteText"/>
      </w:pPr>
      <w:r w:rsidRPr="008623DC">
        <w:rPr>
          <w:rStyle w:val="FootnoteReference"/>
          <w:rFonts w:ascii="Georgia" w:hAnsi="Georgia"/>
        </w:rPr>
        <w:footnoteRef/>
      </w:r>
      <w:r w:rsidRPr="008623DC">
        <w:rPr>
          <w:rFonts w:ascii="Georgia" w:hAnsi="Georgia"/>
        </w:rPr>
        <w:t xml:space="preserve"> </w:t>
      </w:r>
      <w:r w:rsidRPr="008623DC">
        <w:rPr>
          <w:rFonts w:ascii="Georgia" w:hAnsi="Georgia"/>
          <w:i/>
          <w:iCs/>
        </w:rPr>
        <w:t xml:space="preserve">Id. </w:t>
      </w:r>
      <w:r w:rsidRPr="008623DC">
        <w:rPr>
          <w:rFonts w:ascii="Georgia" w:hAnsi="Georgia"/>
        </w:rPr>
        <w:t>at 245.</w:t>
      </w:r>
    </w:p>
  </w:footnote>
  <w:footnote w:id="6">
    <w:p w:rsidR="008623DC" w:rsidRPr="008623DC" w:rsidRDefault="008623DC">
      <w:pPr>
        <w:pStyle w:val="FootnoteText"/>
        <w:rPr>
          <w:rFonts w:ascii="Georgia" w:hAnsi="Georgia"/>
        </w:rPr>
      </w:pPr>
      <w:r w:rsidRPr="008623DC">
        <w:rPr>
          <w:rStyle w:val="FootnoteReference"/>
          <w:rFonts w:ascii="Georgia" w:hAnsi="Georgia"/>
        </w:rPr>
        <w:footnoteRef/>
      </w:r>
      <w:r w:rsidRPr="008623DC">
        <w:rPr>
          <w:rFonts w:ascii="Georgia" w:hAnsi="Georgia"/>
        </w:rPr>
        <w:t xml:space="preserve"> </w:t>
      </w:r>
      <w:r w:rsidRPr="008623DC">
        <w:rPr>
          <w:rFonts w:ascii="Georgia" w:hAnsi="Georgia"/>
          <w:i/>
          <w:iCs/>
        </w:rPr>
        <w:t>Id.</w:t>
      </w:r>
      <w:r w:rsidRPr="008623DC">
        <w:rPr>
          <w:rFonts w:ascii="Georgia" w:hAnsi="Georgia"/>
        </w:rPr>
        <w:t xml:space="preserve"> at 248 (emphasis added).</w:t>
      </w:r>
    </w:p>
  </w:footnote>
  <w:footnote w:id="7">
    <w:p w:rsidR="008623DC" w:rsidRPr="008623DC" w:rsidRDefault="008623DC">
      <w:pPr>
        <w:pStyle w:val="FootnoteText"/>
        <w:rPr>
          <w:rFonts w:ascii="Georgia" w:hAnsi="Georgia"/>
          <w:color w:val="000000" w:themeColor="text1"/>
        </w:rPr>
      </w:pPr>
      <w:r w:rsidRPr="008623DC">
        <w:rPr>
          <w:rStyle w:val="FootnoteReference"/>
          <w:rFonts w:ascii="Georgia" w:hAnsi="Georgia"/>
          <w:color w:val="000000" w:themeColor="text1"/>
        </w:rPr>
        <w:footnoteRef/>
      </w:r>
      <w:r w:rsidRPr="008623DC">
        <w:rPr>
          <w:rFonts w:ascii="Georgia" w:hAnsi="Georgia"/>
          <w:color w:val="000000" w:themeColor="text1"/>
        </w:rPr>
        <w:t xml:space="preserve"> </w:t>
      </w:r>
      <w:r w:rsidRPr="00C6789C">
        <w:rPr>
          <w:rFonts w:ascii="Georgia" w:hAnsi="Georgia"/>
          <w:smallCaps/>
          <w:color w:val="000000" w:themeColor="text1"/>
        </w:rPr>
        <w:t>Welf. &amp; Inst. Cod</w:t>
      </w:r>
      <w:r w:rsidRPr="008623DC">
        <w:rPr>
          <w:rFonts w:ascii="Georgia" w:hAnsi="Georgia"/>
          <w:color w:val="000000" w:themeColor="text1"/>
        </w:rPr>
        <w:t>e, § 361(c).</w:t>
      </w:r>
    </w:p>
  </w:footnote>
  <w:footnote w:id="8">
    <w:p w:rsidR="008623DC" w:rsidRPr="008623DC" w:rsidRDefault="008623DC" w:rsidP="008623DC">
      <w:pPr>
        <w:textAlignment w:val="baseline"/>
        <w:rPr>
          <w:rFonts w:ascii="inherit" w:hAnsi="inherit"/>
          <w:color w:val="3D3D3D"/>
          <w:sz w:val="20"/>
          <w:szCs w:val="20"/>
        </w:rPr>
      </w:pPr>
      <w:r w:rsidRPr="008623DC">
        <w:rPr>
          <w:rStyle w:val="FootnoteReference"/>
          <w:rFonts w:ascii="Georgia" w:hAnsi="Georgia"/>
          <w:color w:val="000000" w:themeColor="text1"/>
          <w:sz w:val="20"/>
          <w:szCs w:val="20"/>
        </w:rPr>
        <w:footnoteRef/>
      </w:r>
      <w:r w:rsidRPr="008623DC">
        <w:rPr>
          <w:rFonts w:ascii="Georgia" w:hAnsi="Georgia"/>
          <w:color w:val="000000" w:themeColor="text1"/>
          <w:sz w:val="20"/>
          <w:szCs w:val="20"/>
        </w:rPr>
        <w:t xml:space="preserve"> </w:t>
      </w:r>
      <w:r w:rsidRPr="00C6789C">
        <w:rPr>
          <w:rFonts w:ascii="Georgia" w:hAnsi="Georgia"/>
          <w:smallCaps/>
          <w:color w:val="000000" w:themeColor="text1"/>
          <w:sz w:val="20"/>
          <w:szCs w:val="20"/>
        </w:rPr>
        <w:t>Welf. &amp; Inst. Code</w:t>
      </w:r>
      <w:r w:rsidRPr="008623DC">
        <w:rPr>
          <w:rFonts w:ascii="Georgia" w:hAnsi="Georgia"/>
          <w:color w:val="000000" w:themeColor="text1"/>
          <w:sz w:val="20"/>
          <w:szCs w:val="20"/>
        </w:rPr>
        <w:t>, § 361(c)(1).</w:t>
      </w:r>
    </w:p>
  </w:footnote>
  <w:footnote w:id="9">
    <w:p w:rsidR="008623DC" w:rsidRPr="008623DC" w:rsidRDefault="008623DC">
      <w:pPr>
        <w:pStyle w:val="FootnoteText"/>
        <w:rPr>
          <w:rFonts w:ascii="Georgia" w:hAnsi="Georgia"/>
        </w:rPr>
      </w:pPr>
      <w:r w:rsidRPr="008623DC">
        <w:rPr>
          <w:rStyle w:val="FootnoteReference"/>
          <w:rFonts w:ascii="Georgia" w:hAnsi="Georgia"/>
        </w:rPr>
        <w:footnoteRef/>
      </w:r>
      <w:r w:rsidRPr="008623DC">
        <w:rPr>
          <w:rFonts w:ascii="Georgia" w:hAnsi="Georgia"/>
        </w:rPr>
        <w:t xml:space="preserve"> </w:t>
      </w:r>
      <w:r w:rsidRPr="00F57B62">
        <w:rPr>
          <w:rFonts w:ascii="Georgia" w:hAnsi="Georgia"/>
          <w:i/>
          <w:iCs/>
        </w:rPr>
        <w:t>In re Luke M.</w:t>
      </w:r>
      <w:r w:rsidRPr="008623DC">
        <w:rPr>
          <w:rFonts w:ascii="Georgia" w:hAnsi="Georgia"/>
        </w:rPr>
        <w:t xml:space="preserve"> (2003)</w:t>
      </w:r>
      <w:r w:rsidRPr="00F57B62">
        <w:rPr>
          <w:rFonts w:ascii="Georgia" w:hAnsi="Georgia"/>
        </w:rPr>
        <w:t xml:space="preserve"> 107 Cal.App.4th 1412</w:t>
      </w:r>
      <w:r w:rsidRPr="008623DC">
        <w:rPr>
          <w:rFonts w:ascii="Georgia" w:hAnsi="Georgia"/>
        </w:rPr>
        <w:t>, 1426 (citing</w:t>
      </w:r>
      <w:r w:rsidRPr="008623DC">
        <w:rPr>
          <w:rFonts w:ascii="Georgia" w:hAnsi="Georgia"/>
          <w:i/>
          <w:iCs/>
        </w:rPr>
        <w:t xml:space="preserve"> In re Jerome D. </w:t>
      </w:r>
      <w:r w:rsidRPr="008623DC">
        <w:rPr>
          <w:rFonts w:ascii="Georgia" w:hAnsi="Georgia"/>
        </w:rPr>
        <w:t>(2000) 84 Cal.App.4th 1200, 1205).</w:t>
      </w:r>
    </w:p>
  </w:footnote>
  <w:footnote w:id="10">
    <w:p w:rsidR="008623DC" w:rsidRPr="008623DC" w:rsidRDefault="008623DC">
      <w:pPr>
        <w:pStyle w:val="FootnoteText"/>
        <w:rPr>
          <w:rFonts w:ascii="Georgia" w:hAnsi="Georgia"/>
        </w:rPr>
      </w:pPr>
      <w:r w:rsidRPr="008623DC">
        <w:rPr>
          <w:rStyle w:val="FootnoteReference"/>
          <w:rFonts w:ascii="Georgia" w:hAnsi="Georgia"/>
        </w:rPr>
        <w:footnoteRef/>
      </w:r>
      <w:r w:rsidRPr="008623DC">
        <w:rPr>
          <w:rFonts w:ascii="Georgia" w:hAnsi="Georgia"/>
        </w:rPr>
        <w:t xml:space="preserve"> </w:t>
      </w:r>
      <w:r w:rsidRPr="008623DC">
        <w:rPr>
          <w:rFonts w:ascii="Georgia" w:hAnsi="Georgia"/>
          <w:i/>
          <w:iCs/>
        </w:rPr>
        <w:t xml:space="preserve">In re Jerome D. </w:t>
      </w:r>
      <w:r w:rsidRPr="008623DC">
        <w:rPr>
          <w:rFonts w:ascii="Georgia" w:hAnsi="Georgia"/>
        </w:rPr>
        <w:t xml:space="preserve">(2000) 84 Cal.App.4th 1200, 1205. </w:t>
      </w:r>
      <w:r w:rsidRPr="008623DC">
        <w:rPr>
          <w:rFonts w:ascii="Georgia" w:hAnsi="Georgia"/>
          <w:i/>
          <w:iCs/>
        </w:rPr>
        <w:t xml:space="preserve"> See also</w:t>
      </w:r>
      <w:r w:rsidRPr="008623DC">
        <w:rPr>
          <w:rFonts w:ascii="Georgia" w:hAnsi="Georgia"/>
        </w:rPr>
        <w:t xml:space="preserve"> </w:t>
      </w:r>
      <w:r w:rsidRPr="008623DC">
        <w:rPr>
          <w:rFonts w:ascii="Georgia" w:hAnsi="Georgia"/>
          <w:i/>
          <w:iCs/>
        </w:rPr>
        <w:t>In re Angelia P.</w:t>
      </w:r>
      <w:r w:rsidRPr="008623DC">
        <w:rPr>
          <w:rFonts w:ascii="Georgia" w:hAnsi="Georgia"/>
        </w:rPr>
        <w:t xml:space="preserve"> (1981) 28 Cal.3d 908, 919 (“’Clear and convincing’ evidence requires a finding of high probability. This standard is not new. We described such a test, 80 years ago . . . It retains validity today.”).</w:t>
      </w:r>
    </w:p>
  </w:footnote>
  <w:footnote w:id="11">
    <w:p w:rsidR="008623DC" w:rsidRPr="008623DC" w:rsidRDefault="008623DC">
      <w:pPr>
        <w:pStyle w:val="FootnoteText"/>
      </w:pPr>
      <w:r w:rsidRPr="008623DC">
        <w:rPr>
          <w:rStyle w:val="FootnoteReference"/>
          <w:rFonts w:ascii="Georgia" w:hAnsi="Georgia"/>
        </w:rPr>
        <w:footnoteRef/>
      </w:r>
      <w:r w:rsidRPr="008623DC">
        <w:rPr>
          <w:rFonts w:ascii="Georgia" w:hAnsi="Georgia"/>
        </w:rPr>
        <w:t xml:space="preserve"> </w:t>
      </w:r>
      <w:r w:rsidRPr="008623DC">
        <w:rPr>
          <w:rFonts w:ascii="Georgia" w:hAnsi="Georgia"/>
          <w:i/>
          <w:iCs/>
        </w:rPr>
        <w:t>Weiner v. Fleischman</w:t>
      </w:r>
      <w:r w:rsidRPr="008623DC">
        <w:rPr>
          <w:rFonts w:ascii="Georgia" w:hAnsi="Georgia"/>
        </w:rPr>
        <w:t xml:space="preserve"> (1991) 54 Cal.3d 476, 487 (quoting </w:t>
      </w:r>
      <w:r w:rsidRPr="008623DC">
        <w:rPr>
          <w:rFonts w:ascii="Georgia" w:hAnsi="Georgia"/>
          <w:i/>
          <w:iCs/>
        </w:rPr>
        <w:t>Herman &amp; MacLean v. Huddleston</w:t>
      </w:r>
      <w:r w:rsidRPr="008623DC">
        <w:rPr>
          <w:rFonts w:ascii="Georgia" w:hAnsi="Georgia"/>
        </w:rPr>
        <w:t xml:space="preserve"> (1983) 459 U.S. 375, 389-390).</w:t>
      </w:r>
      <w:r>
        <w:rPr>
          <w:rFonts w:ascii="Georgia" w:hAnsi="Georgia"/>
        </w:rPr>
        <w:t xml:space="preserve">  </w:t>
      </w:r>
      <w:r>
        <w:rPr>
          <w:rFonts w:ascii="Georgia" w:hAnsi="Georgia"/>
          <w:i/>
          <w:iCs/>
        </w:rPr>
        <w:t>See also</w:t>
      </w:r>
      <w:r>
        <w:rPr>
          <w:rFonts w:ascii="Georgia" w:hAnsi="Georgia"/>
        </w:rPr>
        <w:t xml:space="preserve"> </w:t>
      </w:r>
      <w:r>
        <w:rPr>
          <w:rFonts w:ascii="Georgia" w:hAnsi="Georgia"/>
          <w:i/>
          <w:iCs/>
        </w:rPr>
        <w:t>Santosky v. Kramer</w:t>
      </w:r>
      <w:r>
        <w:rPr>
          <w:rFonts w:ascii="Georgia" w:hAnsi="Georgia"/>
        </w:rPr>
        <w:t xml:space="preserve"> (1982) 455 U.S. 745, 756 (“This Court has mandated an intermediate standard of proof—‘clear and convincing evidence’—when the individual interests at stake in a state proceeding are both ‘particularly important’ and ‘more substantial than mere loss of money . . . the Court has deemed this level of certainty necessary to preserve fundamental fairness in a variety of government-initiated proceedings that threaten the individual involved with ‘a significant deprivation of liberty’ or ‘stigma.’”) (quoting </w:t>
      </w:r>
      <w:r>
        <w:rPr>
          <w:rFonts w:ascii="Georgia" w:hAnsi="Georgia"/>
          <w:i/>
          <w:iCs/>
        </w:rPr>
        <w:t>Addington v. Texas</w:t>
      </w:r>
      <w:r>
        <w:rPr>
          <w:rFonts w:ascii="Georgia" w:hAnsi="Georgia"/>
        </w:rPr>
        <w:t xml:space="preserve"> (1979) 441 U.S. 418, 424-426).</w:t>
      </w:r>
    </w:p>
  </w:footnote>
  <w:footnote w:id="12">
    <w:p w:rsidR="008623DC" w:rsidRPr="004C4C2C" w:rsidRDefault="008623DC">
      <w:pPr>
        <w:pStyle w:val="FootnoteText"/>
        <w:rPr>
          <w:rFonts w:ascii="Georgia" w:hAnsi="Georgia"/>
        </w:rPr>
      </w:pPr>
      <w:r w:rsidRPr="004C4C2C">
        <w:rPr>
          <w:rStyle w:val="FootnoteReference"/>
          <w:rFonts w:ascii="Georgia" w:hAnsi="Georgia"/>
        </w:rPr>
        <w:footnoteRef/>
      </w:r>
      <w:r w:rsidRPr="004C4C2C">
        <w:rPr>
          <w:rFonts w:ascii="Georgia" w:hAnsi="Georgia"/>
        </w:rPr>
        <w:t xml:space="preserve"> </w:t>
      </w:r>
      <w:r w:rsidRPr="004C4C2C">
        <w:rPr>
          <w:rFonts w:ascii="Georgia" w:hAnsi="Georgia"/>
          <w:i/>
          <w:iCs/>
        </w:rPr>
        <w:t>Conservatorship of O.B. </w:t>
      </w:r>
      <w:r w:rsidRPr="004C4C2C">
        <w:rPr>
          <w:rFonts w:ascii="Georgia" w:hAnsi="Georgia"/>
        </w:rPr>
        <w:t xml:space="preserve">(2020) 9 Cal.5th 989, 989 (quoting </w:t>
      </w:r>
      <w:r w:rsidRPr="004C4C2C">
        <w:rPr>
          <w:rFonts w:ascii="Georgia" w:hAnsi="Georgia"/>
          <w:i/>
          <w:iCs/>
        </w:rPr>
        <w:t>In re Angelia P.</w:t>
      </w:r>
      <w:r w:rsidRPr="004C4C2C">
        <w:rPr>
          <w:rFonts w:ascii="Georgia" w:hAnsi="Georgia"/>
        </w:rPr>
        <w:t xml:space="preserve"> (1981) 28 Cal.3d 908, 919).</w:t>
      </w:r>
    </w:p>
  </w:footnote>
  <w:footnote w:id="13">
    <w:p w:rsidR="008623DC" w:rsidRPr="004C4C2C" w:rsidRDefault="008623DC">
      <w:pPr>
        <w:pStyle w:val="FootnoteText"/>
        <w:rPr>
          <w:rFonts w:ascii="Georgia" w:hAnsi="Georgia"/>
        </w:rPr>
      </w:pPr>
      <w:r w:rsidRPr="004C4C2C">
        <w:rPr>
          <w:rStyle w:val="FootnoteReference"/>
          <w:rFonts w:ascii="Georgia" w:hAnsi="Georgia"/>
        </w:rPr>
        <w:footnoteRef/>
      </w:r>
      <w:r w:rsidRPr="004C4C2C">
        <w:rPr>
          <w:rFonts w:ascii="Georgia" w:hAnsi="Georgia"/>
        </w:rPr>
        <w:t xml:space="preserve"> </w:t>
      </w:r>
      <w:r w:rsidRPr="004C4C2C">
        <w:rPr>
          <w:rFonts w:ascii="Georgia" w:hAnsi="Georgia"/>
          <w:i/>
          <w:iCs/>
        </w:rPr>
        <w:t>People v. McVey</w:t>
      </w:r>
      <w:r w:rsidRPr="004C4C2C">
        <w:rPr>
          <w:rFonts w:ascii="Georgia" w:hAnsi="Georgia"/>
        </w:rPr>
        <w:t xml:space="preserve"> (2018) 24 Cal.App.5</w:t>
      </w:r>
      <w:r w:rsidRPr="004C4C2C">
        <w:rPr>
          <w:rFonts w:ascii="Georgia" w:hAnsi="Georgia"/>
          <w:vertAlign w:val="superscript"/>
        </w:rPr>
        <w:t>th</w:t>
      </w:r>
      <w:r w:rsidRPr="004C4C2C">
        <w:rPr>
          <w:rFonts w:ascii="Georgia" w:hAnsi="Georgia"/>
        </w:rPr>
        <w:t xml:space="preserve"> 405, 415</w:t>
      </w:r>
      <w:r w:rsidRPr="004C4C2C">
        <w:rPr>
          <w:rFonts w:ascii="Georgia" w:hAnsi="Georgia"/>
          <w:i/>
          <w:iCs/>
        </w:rPr>
        <w:t>; Melendez-Diaz v. Massachusetts</w:t>
      </w:r>
      <w:r w:rsidRPr="004C4C2C">
        <w:rPr>
          <w:rFonts w:ascii="Georgia" w:hAnsi="Georgia"/>
        </w:rPr>
        <w:t xml:space="preserve"> (2009) 537 U.S. 305, 321.</w:t>
      </w:r>
    </w:p>
  </w:footnote>
  <w:footnote w:id="14">
    <w:p w:rsidR="00193995" w:rsidRPr="006751F4" w:rsidRDefault="00193995" w:rsidP="00193995">
      <w:pPr>
        <w:pStyle w:val="FootnoteText"/>
        <w:rPr>
          <w:rFonts w:ascii="Georgia" w:hAnsi="Georgia"/>
        </w:rPr>
      </w:pPr>
      <w:r w:rsidRPr="006751F4">
        <w:rPr>
          <w:rStyle w:val="FootnoteReference"/>
          <w:rFonts w:ascii="Georgia" w:hAnsi="Georgia"/>
        </w:rPr>
        <w:footnoteRef/>
      </w:r>
      <w:r w:rsidRPr="006751F4">
        <w:rPr>
          <w:rFonts w:ascii="Georgia" w:hAnsi="Georgia"/>
        </w:rPr>
        <w:t xml:space="preserve"> </w:t>
      </w:r>
      <w:r w:rsidRPr="006751F4">
        <w:rPr>
          <w:rFonts w:ascii="Georgia" w:hAnsi="Georgia"/>
          <w:smallCaps/>
        </w:rPr>
        <w:t>Cal. Evid. Code</w:t>
      </w:r>
      <w:r w:rsidR="00C6789C">
        <w:rPr>
          <w:rFonts w:ascii="Georgia" w:hAnsi="Georgia"/>
          <w:smallCaps/>
        </w:rPr>
        <w:t>,</w:t>
      </w:r>
      <w:r w:rsidRPr="006751F4">
        <w:rPr>
          <w:rFonts w:ascii="Georgia" w:hAnsi="Georgia"/>
        </w:rPr>
        <w:t xml:space="preserve"> § 1280 (West 2021).</w:t>
      </w:r>
    </w:p>
  </w:footnote>
  <w:footnote w:id="15">
    <w:p w:rsidR="008623DC" w:rsidRPr="004C4C2C" w:rsidRDefault="008623DC">
      <w:pPr>
        <w:pStyle w:val="FootnoteText"/>
        <w:rPr>
          <w:rFonts w:ascii="Georgia" w:hAnsi="Georgia"/>
        </w:rPr>
      </w:pPr>
      <w:r w:rsidRPr="004C4C2C">
        <w:rPr>
          <w:rStyle w:val="FootnoteReference"/>
          <w:rFonts w:ascii="Georgia" w:hAnsi="Georgia"/>
        </w:rPr>
        <w:footnoteRef/>
      </w:r>
      <w:r w:rsidRPr="004C4C2C">
        <w:rPr>
          <w:rFonts w:ascii="Georgia" w:hAnsi="Georgia"/>
        </w:rPr>
        <w:t xml:space="preserve"> </w:t>
      </w:r>
      <w:r w:rsidRPr="004C4C2C">
        <w:rPr>
          <w:rFonts w:ascii="Georgia" w:hAnsi="Georgia"/>
          <w:i/>
          <w:iCs/>
        </w:rPr>
        <w:t>Imachi v. Department of Motor Vehicles</w:t>
      </w:r>
      <w:r w:rsidRPr="004C4C2C">
        <w:rPr>
          <w:rFonts w:ascii="Georgia" w:hAnsi="Georgia"/>
        </w:rPr>
        <w:t xml:space="preserve"> (1992) 2 Cal.App.4</w:t>
      </w:r>
      <w:r w:rsidRPr="004C4C2C">
        <w:rPr>
          <w:rFonts w:ascii="Georgia" w:hAnsi="Georgia"/>
          <w:vertAlign w:val="superscript"/>
        </w:rPr>
        <w:t>th</w:t>
      </w:r>
      <w:r w:rsidRPr="004C4C2C">
        <w:rPr>
          <w:rFonts w:ascii="Georgia" w:hAnsi="Georgia"/>
        </w:rPr>
        <w:t xml:space="preserve"> 809, 817.</w:t>
      </w:r>
    </w:p>
  </w:footnote>
  <w:footnote w:id="16">
    <w:p w:rsidR="004C4C2C" w:rsidRPr="004C4C2C" w:rsidRDefault="004C4C2C">
      <w:pPr>
        <w:pStyle w:val="FootnoteText"/>
      </w:pPr>
      <w:r w:rsidRPr="004C4C2C">
        <w:rPr>
          <w:rStyle w:val="FootnoteReference"/>
          <w:rFonts w:ascii="Georgia" w:hAnsi="Georgia"/>
        </w:rPr>
        <w:footnoteRef/>
      </w:r>
      <w:r w:rsidRPr="004C4C2C">
        <w:rPr>
          <w:rFonts w:ascii="Georgia" w:hAnsi="Georgia"/>
        </w:rPr>
        <w:t xml:space="preserve"> </w:t>
      </w:r>
      <w:r w:rsidRPr="004C4C2C">
        <w:rPr>
          <w:rFonts w:ascii="Georgia" w:hAnsi="Georgia"/>
          <w:i/>
          <w:iCs/>
        </w:rPr>
        <w:t>Gananian v. Zolin</w:t>
      </w:r>
      <w:r w:rsidRPr="004C4C2C">
        <w:rPr>
          <w:rFonts w:ascii="Georgia" w:hAnsi="Georgia"/>
        </w:rPr>
        <w:t xml:space="preserve"> (1995) 33 Cal.App.4</w:t>
      </w:r>
      <w:r w:rsidRPr="004C4C2C">
        <w:rPr>
          <w:rFonts w:ascii="Georgia" w:hAnsi="Georgia"/>
          <w:vertAlign w:val="superscript"/>
        </w:rPr>
        <w:t>th</w:t>
      </w:r>
      <w:r w:rsidRPr="004C4C2C">
        <w:rPr>
          <w:rFonts w:ascii="Georgia" w:hAnsi="Georgia"/>
        </w:rPr>
        <w:t xml:space="preserve"> 634, 639.</w:t>
      </w:r>
    </w:p>
  </w:footnote>
  <w:footnote w:id="17">
    <w:p w:rsidR="004C4C2C" w:rsidRPr="006751F4" w:rsidRDefault="004C4C2C">
      <w:pPr>
        <w:pStyle w:val="FootnoteText"/>
        <w:rPr>
          <w:rFonts w:ascii="Georgia" w:hAnsi="Georgia"/>
        </w:rPr>
      </w:pPr>
      <w:r w:rsidRPr="006751F4">
        <w:rPr>
          <w:rStyle w:val="FootnoteReference"/>
          <w:rFonts w:ascii="Georgia" w:hAnsi="Georgia"/>
        </w:rPr>
        <w:footnoteRef/>
      </w:r>
      <w:r w:rsidRPr="006751F4">
        <w:rPr>
          <w:rFonts w:ascii="Georgia" w:hAnsi="Georgia"/>
        </w:rPr>
        <w:t xml:space="preserve"> </w:t>
      </w:r>
      <w:r w:rsidRPr="006751F4">
        <w:rPr>
          <w:rFonts w:ascii="Georgia" w:hAnsi="Georgia"/>
          <w:i/>
          <w:iCs/>
        </w:rPr>
        <w:t>Gananian</w:t>
      </w:r>
      <w:r w:rsidRPr="006751F4">
        <w:rPr>
          <w:rFonts w:ascii="Georgia" w:hAnsi="Georgia"/>
        </w:rPr>
        <w:t xml:space="preserve">, </w:t>
      </w:r>
      <w:r w:rsidRPr="006751F4">
        <w:rPr>
          <w:rFonts w:ascii="Georgia" w:hAnsi="Georgia"/>
          <w:i/>
          <w:iCs/>
        </w:rPr>
        <w:t>supra</w:t>
      </w:r>
      <w:r w:rsidRPr="006751F4">
        <w:rPr>
          <w:rFonts w:ascii="Georgia" w:hAnsi="Georgia"/>
        </w:rPr>
        <w:t xml:space="preserve"> note 15 at 650</w:t>
      </w:r>
      <w:r w:rsidR="006751F4" w:rsidRPr="006751F4">
        <w:rPr>
          <w:rFonts w:ascii="Georgia" w:hAnsi="Georgia"/>
        </w:rPr>
        <w:t xml:space="preserve"> (bold and italics in original)</w:t>
      </w:r>
      <w:r w:rsidRPr="006751F4">
        <w:rPr>
          <w:rFonts w:ascii="Georgia" w:hAnsi="Georgia"/>
        </w:rPr>
        <w:t xml:space="preserve"> (quoting </w:t>
      </w:r>
      <w:r w:rsidRPr="006751F4">
        <w:rPr>
          <w:rFonts w:ascii="Georgia" w:hAnsi="Georgia"/>
          <w:i/>
          <w:iCs/>
        </w:rPr>
        <w:t>People v. Baeske</w:t>
      </w:r>
      <w:r w:rsidRPr="006751F4">
        <w:rPr>
          <w:rFonts w:ascii="Georgia" w:hAnsi="Georgia"/>
        </w:rPr>
        <w:t xml:space="preserve"> (1976) 58 Cal.App.3d 775, 780</w:t>
      </w:r>
      <w:r w:rsidR="006751F4" w:rsidRPr="006751F4">
        <w:rPr>
          <w:rFonts w:ascii="Georgia" w:hAnsi="Georgia"/>
        </w:rPr>
        <w:t>).</w:t>
      </w:r>
    </w:p>
  </w:footnote>
  <w:footnote w:id="18">
    <w:p w:rsidR="006751F4" w:rsidRPr="00C6789C" w:rsidRDefault="006751F4">
      <w:pPr>
        <w:pStyle w:val="FootnoteText"/>
        <w:rPr>
          <w:rFonts w:ascii="Georgia" w:hAnsi="Georgia"/>
        </w:rPr>
      </w:pPr>
      <w:r w:rsidRPr="00C6789C">
        <w:rPr>
          <w:rStyle w:val="FootnoteReference"/>
          <w:rFonts w:ascii="Georgia" w:hAnsi="Georgia"/>
        </w:rPr>
        <w:footnoteRef/>
      </w:r>
      <w:r w:rsidRPr="00C6789C">
        <w:rPr>
          <w:rFonts w:ascii="Georgia" w:hAnsi="Georgia"/>
        </w:rPr>
        <w:t xml:space="preserve"> </w:t>
      </w:r>
      <w:r w:rsidRPr="00C6789C">
        <w:rPr>
          <w:rFonts w:ascii="Georgia" w:hAnsi="Georgia"/>
          <w:i/>
          <w:iCs/>
        </w:rPr>
        <w:t>People v. Baeske</w:t>
      </w:r>
      <w:r w:rsidRPr="00C6789C">
        <w:rPr>
          <w:rFonts w:ascii="Georgia" w:hAnsi="Georgia"/>
        </w:rPr>
        <w:t xml:space="preserve"> (1976) 58 Cal.App.3d 775, 780</w:t>
      </w:r>
    </w:p>
  </w:footnote>
  <w:footnote w:id="19">
    <w:p w:rsidR="00193995" w:rsidRPr="00C6789C" w:rsidRDefault="00193995">
      <w:pPr>
        <w:pStyle w:val="FootnoteText"/>
      </w:pPr>
      <w:r w:rsidRPr="00C6789C">
        <w:rPr>
          <w:rStyle w:val="FootnoteReference"/>
          <w:rFonts w:ascii="Georgia" w:hAnsi="Georgia"/>
        </w:rPr>
        <w:footnoteRef/>
      </w:r>
      <w:r w:rsidRPr="00C6789C">
        <w:rPr>
          <w:rFonts w:ascii="Georgia" w:hAnsi="Georgia"/>
        </w:rPr>
        <w:t xml:space="preserve"> </w:t>
      </w:r>
      <w:r w:rsidRPr="00C6789C">
        <w:rPr>
          <w:rFonts w:ascii="Georgia" w:hAnsi="Georgia"/>
          <w:smallCaps/>
        </w:rPr>
        <w:t>Cal. Gov’t. Code</w:t>
      </w:r>
      <w:r w:rsidR="00C6789C">
        <w:rPr>
          <w:rFonts w:ascii="Georgia" w:hAnsi="Georgia"/>
          <w:smallCaps/>
        </w:rPr>
        <w:t>,</w:t>
      </w:r>
      <w:r w:rsidRPr="00C6789C">
        <w:rPr>
          <w:rFonts w:ascii="Georgia" w:hAnsi="Georgia"/>
        </w:rPr>
        <w:t xml:space="preserve"> § 6254</w:t>
      </w:r>
      <w:r w:rsidR="00C6789C" w:rsidRPr="00C6789C">
        <w:rPr>
          <w:rFonts w:ascii="Georgia" w:hAnsi="Georgia"/>
        </w:rPr>
        <w:t>(f)</w:t>
      </w:r>
      <w:r w:rsidRPr="00C6789C">
        <w:rPr>
          <w:rFonts w:ascii="Georgia" w:hAnsi="Georgia"/>
        </w:rPr>
        <w:t xml:space="preserve"> (West 2021).</w:t>
      </w:r>
      <w:r w:rsidR="00C6789C" w:rsidRPr="00C6789C">
        <w:rPr>
          <w:rFonts w:ascii="Georgia" w:hAnsi="Georgia"/>
        </w:rPr>
        <w:t xml:space="preserve"> </w:t>
      </w:r>
      <w:r w:rsidR="00C6789C" w:rsidRPr="00C6789C">
        <w:rPr>
          <w:rFonts w:ascii="Georgia" w:hAnsi="Georgia"/>
          <w:i/>
          <w:iCs/>
        </w:rPr>
        <w:t xml:space="preserve"> See also</w:t>
      </w:r>
      <w:r w:rsidR="00C6789C" w:rsidRPr="00C6789C">
        <w:rPr>
          <w:rFonts w:ascii="Georgia" w:hAnsi="Georgia"/>
        </w:rPr>
        <w:t xml:space="preserve"> 65 Ops.Cal.Atty.Gen. 563, (1982) (“We conclude that records of arrest as well as records of </w:t>
      </w:r>
      <w:r w:rsidR="0052114B" w:rsidRPr="00C6789C">
        <w:rPr>
          <w:rFonts w:ascii="Georgia" w:hAnsi="Georgia"/>
        </w:rPr>
        <w:t>complaints</w:t>
      </w:r>
      <w:r w:rsidR="00C6789C" w:rsidRPr="00C6789C">
        <w:rPr>
          <w:rFonts w:ascii="Georgia" w:hAnsi="Georgia"/>
        </w:rPr>
        <w:t xml:space="preserve"> are exempt from disclosure under section 6254(f).”).</w:t>
      </w:r>
    </w:p>
  </w:footnote>
  <w:footnote w:id="20">
    <w:p w:rsidR="00F36A26" w:rsidRPr="00D91B66" w:rsidRDefault="00F36A26">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w:t>
      </w:r>
      <w:r w:rsidR="0052114B" w:rsidRPr="00D91B66">
        <w:rPr>
          <w:rFonts w:ascii="Georgia" w:hAnsi="Georgia"/>
        </w:rPr>
        <w:t xml:space="preserve">Michael Barbra, </w:t>
      </w:r>
      <w:r w:rsidR="0052114B" w:rsidRPr="00D91B66">
        <w:rPr>
          <w:rFonts w:ascii="Georgia" w:hAnsi="Georgia"/>
          <w:i/>
          <w:iCs/>
        </w:rPr>
        <w:t>Federal judge: SF police officer’s testimony was ‘pure fiction,’</w:t>
      </w:r>
      <w:r w:rsidR="0052114B" w:rsidRPr="00D91B66">
        <w:rPr>
          <w:rFonts w:ascii="Georgia" w:hAnsi="Georgia"/>
        </w:rPr>
        <w:t xml:space="preserve"> </w:t>
      </w:r>
      <w:r w:rsidR="0052114B" w:rsidRPr="00D91B66">
        <w:rPr>
          <w:rFonts w:ascii="Georgia" w:hAnsi="Georgia"/>
          <w:smallCaps/>
        </w:rPr>
        <w:t>S.F. Examiner</w:t>
      </w:r>
      <w:r w:rsidR="0052114B" w:rsidRPr="00D91B66">
        <w:rPr>
          <w:rFonts w:ascii="Georgia" w:hAnsi="Georgia"/>
        </w:rPr>
        <w:t xml:space="preserve"> (May 18, 2021), https://www.sfexaminer.com/news/federal-judge-sf-police-officers-testimony-was-pure-fiction/; </w:t>
      </w:r>
      <w:r w:rsidR="0052114B" w:rsidRPr="00D91B66">
        <w:rPr>
          <w:rFonts w:ascii="Georgia" w:hAnsi="Georgia"/>
          <w:i/>
          <w:iCs/>
        </w:rPr>
        <w:t>USA v. Simpson</w:t>
      </w:r>
      <w:r w:rsidR="0052114B" w:rsidRPr="00D91B66">
        <w:rPr>
          <w:rFonts w:ascii="Georgia" w:hAnsi="Georgia"/>
        </w:rPr>
        <w:t xml:space="preserve">, Order re Buckley Test. (May 18, 2021), https://assets.documentcloud.org/documents/20744995/judge-breyer-ruling-on-officer-buckley-51821.pdf; Matthew Ormseth &amp; Ben Poston, </w:t>
      </w:r>
      <w:r w:rsidR="0052114B" w:rsidRPr="00D91B66">
        <w:rPr>
          <w:rFonts w:ascii="Georgia" w:hAnsi="Georgia"/>
          <w:i/>
          <w:iCs/>
        </w:rPr>
        <w:t>Judge dismisses 15 cases involving LAPD officers implicated in gang-framing scandal</w:t>
      </w:r>
      <w:r w:rsidR="0052114B" w:rsidRPr="00D91B66">
        <w:rPr>
          <w:rFonts w:ascii="Georgia" w:hAnsi="Georgia"/>
        </w:rPr>
        <w:t xml:space="preserve">, L.A. Times (Dec. 4, 2020), https://www.latimes.com/california/story/2020-12-04/lapd-gang-framing-charges. </w:t>
      </w:r>
    </w:p>
  </w:footnote>
  <w:footnote w:id="21">
    <w:p w:rsidR="0052114B" w:rsidRPr="00D91B66" w:rsidRDefault="0052114B">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Michael Barbra, </w:t>
      </w:r>
      <w:r w:rsidRPr="00D91B66">
        <w:rPr>
          <w:rFonts w:ascii="Georgia" w:hAnsi="Georgia"/>
          <w:i/>
          <w:iCs/>
        </w:rPr>
        <w:t>Federal judge: SF police officer’s testimony was ‘pure fiction,’</w:t>
      </w:r>
      <w:r w:rsidRPr="00D91B66">
        <w:rPr>
          <w:rFonts w:ascii="Georgia" w:hAnsi="Georgia"/>
        </w:rPr>
        <w:t xml:space="preserve"> </w:t>
      </w:r>
      <w:r w:rsidRPr="00D91B66">
        <w:rPr>
          <w:rFonts w:ascii="Georgia" w:hAnsi="Georgia"/>
          <w:smallCaps/>
        </w:rPr>
        <w:t>S.F. Examiner</w:t>
      </w:r>
      <w:r w:rsidRPr="00D91B66">
        <w:rPr>
          <w:rFonts w:ascii="Georgia" w:hAnsi="Georgia"/>
        </w:rPr>
        <w:t xml:space="preserve"> (May 18, 2021), https://www.sfexaminer.com/news/federal-judge-sf-police-officers-testimony-was-pure-fiction/;</w:t>
      </w:r>
      <w:r w:rsidRPr="00D91B66">
        <w:rPr>
          <w:rFonts w:ascii="Georgia" w:hAnsi="Georgia"/>
          <w:i/>
          <w:iCs/>
        </w:rPr>
        <w:t xml:space="preserve"> USA v. Simpson</w:t>
      </w:r>
      <w:r w:rsidRPr="00D91B66">
        <w:rPr>
          <w:rFonts w:ascii="Georgia" w:hAnsi="Georgia"/>
        </w:rPr>
        <w:t>, Order re Buckley Test. 8 (May 18, 2021), https://assets.documentcloud.org/documents/20744995/judge-breyer-ruling-on-officer-buckley-51821.pdf</w:t>
      </w:r>
    </w:p>
  </w:footnote>
  <w:footnote w:id="22">
    <w:p w:rsidR="0052114B" w:rsidRPr="00D91B66" w:rsidRDefault="0052114B">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Michael Barbra, </w:t>
      </w:r>
      <w:r w:rsidRPr="00D91B66">
        <w:rPr>
          <w:rFonts w:ascii="Georgia" w:hAnsi="Georgia"/>
          <w:i/>
          <w:iCs/>
        </w:rPr>
        <w:t>Federal judge: SF police officer’s testimony was ‘pure fiction,’</w:t>
      </w:r>
      <w:r w:rsidRPr="00D91B66">
        <w:rPr>
          <w:rFonts w:ascii="Georgia" w:hAnsi="Georgia"/>
        </w:rPr>
        <w:t xml:space="preserve"> </w:t>
      </w:r>
      <w:r w:rsidRPr="00D91B66">
        <w:rPr>
          <w:rFonts w:ascii="Georgia" w:hAnsi="Georgia"/>
          <w:smallCaps/>
        </w:rPr>
        <w:t>S.F. Examiner</w:t>
      </w:r>
      <w:r w:rsidRPr="00D91B66">
        <w:rPr>
          <w:rFonts w:ascii="Georgia" w:hAnsi="Georgia"/>
        </w:rPr>
        <w:t xml:space="preserve"> (May 18, 2021), https://www.sfexaminer.com/news/federal-judge-sf-police-officers-testimony-was-pure-fiction/; </w:t>
      </w:r>
      <w:r w:rsidRPr="00D91B66">
        <w:rPr>
          <w:rFonts w:ascii="Georgia" w:hAnsi="Georgia"/>
          <w:i/>
          <w:iCs/>
        </w:rPr>
        <w:t>USA v. Simpson</w:t>
      </w:r>
      <w:r w:rsidRPr="00D91B66">
        <w:rPr>
          <w:rFonts w:ascii="Georgia" w:hAnsi="Georgia"/>
        </w:rPr>
        <w:t>, Order re Buckley Test. 1 (May 18, 2021), https://assets.documentcloud.org/documents/20744995/judge-breyer-ruling-on-officer-buckley-51821.pdf.</w:t>
      </w:r>
    </w:p>
  </w:footnote>
  <w:footnote w:id="23">
    <w:p w:rsidR="0052114B" w:rsidRDefault="0052114B">
      <w:pPr>
        <w:pStyle w:val="FootnoteText"/>
      </w:pPr>
      <w:r w:rsidRPr="00D91B66">
        <w:rPr>
          <w:rStyle w:val="FootnoteReference"/>
          <w:rFonts w:ascii="Georgia" w:hAnsi="Georgia"/>
        </w:rPr>
        <w:footnoteRef/>
      </w:r>
      <w:r w:rsidRPr="00D91B66">
        <w:rPr>
          <w:rFonts w:ascii="Georgia" w:hAnsi="Georgia"/>
        </w:rPr>
        <w:t xml:space="preserve"> Michael Barbra, </w:t>
      </w:r>
      <w:r w:rsidRPr="00D91B66">
        <w:rPr>
          <w:rFonts w:ascii="Georgia" w:hAnsi="Georgia"/>
          <w:i/>
          <w:iCs/>
        </w:rPr>
        <w:t>Federal judge: SF police officer’s testimony was ‘pure fiction,’</w:t>
      </w:r>
      <w:r w:rsidRPr="00D91B66">
        <w:rPr>
          <w:rFonts w:ascii="Georgia" w:hAnsi="Georgia"/>
        </w:rPr>
        <w:t xml:space="preserve"> </w:t>
      </w:r>
      <w:r w:rsidRPr="00D91B66">
        <w:rPr>
          <w:rFonts w:ascii="Georgia" w:hAnsi="Georgia"/>
          <w:smallCaps/>
        </w:rPr>
        <w:t>S.F. Examiner</w:t>
      </w:r>
      <w:r w:rsidRPr="00D91B66">
        <w:rPr>
          <w:rFonts w:ascii="Georgia" w:hAnsi="Georgia"/>
        </w:rPr>
        <w:t xml:space="preserve"> (May 18, 2021), https://www.sfexaminer.com/news/federal-judge-sf-police-officers-testimony-was-pure-fiction/.</w:t>
      </w:r>
    </w:p>
  </w:footnote>
  <w:footnote w:id="24">
    <w:p w:rsidR="0052114B" w:rsidRPr="005C6EB0" w:rsidRDefault="0052114B">
      <w:pPr>
        <w:pStyle w:val="FootnoteText"/>
        <w:rPr>
          <w:rFonts w:ascii="Georgia" w:hAnsi="Georgia"/>
        </w:rPr>
      </w:pPr>
      <w:r w:rsidRPr="005C6EB0">
        <w:rPr>
          <w:rStyle w:val="FootnoteReference"/>
          <w:rFonts w:ascii="Georgia" w:hAnsi="Georgia"/>
        </w:rPr>
        <w:footnoteRef/>
      </w:r>
      <w:r w:rsidRPr="005C6EB0">
        <w:rPr>
          <w:rFonts w:ascii="Georgia" w:hAnsi="Georgia"/>
        </w:rPr>
        <w:t xml:space="preserve"> David Weisburd et al., </w:t>
      </w:r>
      <w:r w:rsidRPr="005C6EB0">
        <w:rPr>
          <w:rFonts w:ascii="Georgia" w:hAnsi="Georgia"/>
          <w:i/>
          <w:iCs/>
        </w:rPr>
        <w:t>Police Attitudes Toward Abuse of Authority: Findings From a National Study</w:t>
      </w:r>
      <w:r w:rsidRPr="005C6EB0">
        <w:rPr>
          <w:rFonts w:ascii="Georgia" w:hAnsi="Georgia"/>
        </w:rPr>
        <w:t>, National Institute of Justice, 3-5 (May 2000), https://www.ojp.gov/pdffiles1/nij/181312.pdf</w:t>
      </w:r>
    </w:p>
  </w:footnote>
  <w:footnote w:id="25">
    <w:p w:rsidR="00F36A26" w:rsidRPr="005C6EB0" w:rsidRDefault="00F36A26">
      <w:pPr>
        <w:pStyle w:val="FootnoteText"/>
        <w:rPr>
          <w:rFonts w:ascii="Georgia" w:hAnsi="Georgia"/>
        </w:rPr>
      </w:pPr>
      <w:r w:rsidRPr="005C6EB0">
        <w:rPr>
          <w:rStyle w:val="FootnoteReference"/>
          <w:rFonts w:ascii="Georgia" w:hAnsi="Georgia"/>
        </w:rPr>
        <w:footnoteRef/>
      </w:r>
      <w:r w:rsidRPr="005C6EB0">
        <w:rPr>
          <w:rFonts w:ascii="Georgia" w:hAnsi="Georgia"/>
        </w:rPr>
        <w:t xml:space="preserve"> </w:t>
      </w:r>
      <w:r w:rsidRPr="005C6EB0">
        <w:rPr>
          <w:rFonts w:ascii="Georgia" w:hAnsi="Georgia"/>
          <w:i/>
          <w:iCs/>
        </w:rPr>
        <w:t>People v. Kiney</w:t>
      </w:r>
      <w:r w:rsidRPr="005C6EB0">
        <w:rPr>
          <w:rFonts w:ascii="Georgia" w:hAnsi="Georgia"/>
        </w:rPr>
        <w:t xml:space="preserve"> (2007) 151 Cal.App.4</w:t>
      </w:r>
      <w:r w:rsidRPr="005C6EB0">
        <w:rPr>
          <w:rFonts w:ascii="Georgia" w:hAnsi="Georgia"/>
          <w:vertAlign w:val="superscript"/>
        </w:rPr>
        <w:t>th</w:t>
      </w:r>
      <w:r w:rsidRPr="005C6EB0">
        <w:rPr>
          <w:rFonts w:ascii="Georgia" w:hAnsi="Georgia"/>
        </w:rPr>
        <w:t xml:space="preserve"> 807, 815.</w:t>
      </w:r>
    </w:p>
  </w:footnote>
  <w:footnote w:id="26">
    <w:p w:rsidR="00F36A26" w:rsidRPr="005C6EB0" w:rsidRDefault="00F36A26">
      <w:pPr>
        <w:pStyle w:val="FootnoteText"/>
        <w:rPr>
          <w:rFonts w:ascii="Georgia" w:hAnsi="Georgia"/>
        </w:rPr>
      </w:pPr>
      <w:r w:rsidRPr="005C6EB0">
        <w:rPr>
          <w:rStyle w:val="FootnoteReference"/>
          <w:rFonts w:ascii="Georgia" w:hAnsi="Georgia"/>
        </w:rPr>
        <w:footnoteRef/>
      </w:r>
      <w:r w:rsidRPr="005C6EB0">
        <w:rPr>
          <w:rFonts w:ascii="Georgia" w:hAnsi="Georgia"/>
        </w:rPr>
        <w:t xml:space="preserve"> </w:t>
      </w:r>
      <w:r w:rsidRPr="005C6EB0">
        <w:rPr>
          <w:rFonts w:ascii="Georgia" w:hAnsi="Georgia"/>
          <w:smallCaps/>
        </w:rPr>
        <w:t>Cal. Evid. Code</w:t>
      </w:r>
      <w:r w:rsidRPr="005C6EB0">
        <w:rPr>
          <w:rFonts w:ascii="Georgia" w:hAnsi="Georgia"/>
        </w:rPr>
        <w:t>, § 140.</w:t>
      </w:r>
    </w:p>
  </w:footnote>
  <w:footnote w:id="27">
    <w:p w:rsidR="00F36A26" w:rsidRPr="005C6EB0" w:rsidRDefault="00F36A26">
      <w:pPr>
        <w:pStyle w:val="FootnoteText"/>
        <w:rPr>
          <w:rFonts w:ascii="Georgia" w:hAnsi="Georgia"/>
        </w:rPr>
      </w:pPr>
      <w:r w:rsidRPr="005C6EB0">
        <w:rPr>
          <w:rStyle w:val="FootnoteReference"/>
          <w:rFonts w:ascii="Georgia" w:hAnsi="Georgia"/>
        </w:rPr>
        <w:footnoteRef/>
      </w:r>
      <w:r w:rsidRPr="005C6EB0">
        <w:rPr>
          <w:rFonts w:ascii="Georgia" w:hAnsi="Georgia"/>
        </w:rPr>
        <w:t xml:space="preserve"> </w:t>
      </w:r>
      <w:r w:rsidRPr="005C6EB0">
        <w:rPr>
          <w:rFonts w:ascii="Georgia" w:hAnsi="Georgia"/>
          <w:smallCaps/>
        </w:rPr>
        <w:t>Cal. Evid. Code</w:t>
      </w:r>
      <w:r w:rsidRPr="005C6EB0">
        <w:rPr>
          <w:rFonts w:ascii="Georgia" w:hAnsi="Georgia"/>
        </w:rPr>
        <w:t>, § 710.</w:t>
      </w:r>
    </w:p>
  </w:footnote>
  <w:footnote w:id="28">
    <w:p w:rsidR="00F36A26" w:rsidRPr="005C6EB0" w:rsidRDefault="00F36A26">
      <w:pPr>
        <w:pStyle w:val="FootnoteText"/>
        <w:rPr>
          <w:rFonts w:ascii="Georgia" w:hAnsi="Georgia"/>
        </w:rPr>
      </w:pPr>
      <w:r w:rsidRPr="005C6EB0">
        <w:rPr>
          <w:rStyle w:val="FootnoteReference"/>
          <w:rFonts w:ascii="Georgia" w:hAnsi="Georgia"/>
        </w:rPr>
        <w:footnoteRef/>
      </w:r>
      <w:r w:rsidRPr="005C6EB0">
        <w:rPr>
          <w:rFonts w:ascii="Georgia" w:hAnsi="Georgia"/>
        </w:rPr>
        <w:t xml:space="preserve"> </w:t>
      </w:r>
      <w:r w:rsidRPr="005C6EB0">
        <w:rPr>
          <w:rFonts w:ascii="Georgia" w:hAnsi="Georgia"/>
          <w:i/>
          <w:iCs/>
        </w:rPr>
        <w:t>County of</w:t>
      </w:r>
      <w:r w:rsidRPr="005C6EB0">
        <w:rPr>
          <w:rFonts w:ascii="Georgia" w:hAnsi="Georgia"/>
        </w:rPr>
        <w:t xml:space="preserve"> </w:t>
      </w:r>
      <w:r w:rsidRPr="005C6EB0">
        <w:rPr>
          <w:rFonts w:ascii="Georgia" w:hAnsi="Georgia"/>
          <w:i/>
          <w:iCs/>
        </w:rPr>
        <w:t xml:space="preserve">Alameda v. Moore </w:t>
      </w:r>
      <w:r w:rsidRPr="005C6EB0">
        <w:rPr>
          <w:rFonts w:ascii="Georgia" w:hAnsi="Georgia"/>
        </w:rPr>
        <w:t>(1995) 33 Cal.App.4</w:t>
      </w:r>
      <w:r w:rsidRPr="005C6EB0">
        <w:rPr>
          <w:rFonts w:ascii="Georgia" w:hAnsi="Georgia"/>
          <w:vertAlign w:val="superscript"/>
        </w:rPr>
        <w:t>th</w:t>
      </w:r>
      <w:r w:rsidRPr="005C6EB0">
        <w:rPr>
          <w:rFonts w:ascii="Georgia" w:hAnsi="Georgia"/>
        </w:rPr>
        <w:t xml:space="preserve"> 1422, 1426.</w:t>
      </w:r>
    </w:p>
  </w:footnote>
  <w:footnote w:id="29">
    <w:p w:rsidR="00F36A26" w:rsidRPr="00F36A26" w:rsidRDefault="00F36A26">
      <w:pPr>
        <w:pStyle w:val="FootnoteText"/>
      </w:pPr>
      <w:r w:rsidRPr="005C6EB0">
        <w:rPr>
          <w:rStyle w:val="FootnoteReference"/>
          <w:rFonts w:ascii="Georgia" w:hAnsi="Georgia"/>
        </w:rPr>
        <w:footnoteRef/>
      </w:r>
      <w:r w:rsidRPr="005C6EB0">
        <w:rPr>
          <w:rFonts w:ascii="Georgia" w:hAnsi="Georgia"/>
        </w:rPr>
        <w:t xml:space="preserve"> </w:t>
      </w:r>
      <w:r w:rsidRPr="005C6EB0">
        <w:rPr>
          <w:rFonts w:ascii="Georgia" w:hAnsi="Georgia"/>
          <w:i/>
          <w:iCs/>
        </w:rPr>
        <w:t>Humphrey</w:t>
      </w:r>
      <w:r w:rsidRPr="005C6EB0">
        <w:rPr>
          <w:rFonts w:ascii="Georgia" w:hAnsi="Georgia"/>
        </w:rPr>
        <w:t xml:space="preserve">, </w:t>
      </w:r>
      <w:r w:rsidRPr="005C6EB0">
        <w:rPr>
          <w:rFonts w:ascii="Georgia" w:hAnsi="Georgia"/>
          <w:i/>
          <w:iCs/>
        </w:rPr>
        <w:t>supra</w:t>
      </w:r>
      <w:r w:rsidRPr="005C6EB0">
        <w:rPr>
          <w:rFonts w:ascii="Georgia" w:hAnsi="Georgia"/>
        </w:rPr>
        <w:t xml:space="preserve"> note 1 at </w:t>
      </w:r>
      <w:r w:rsidR="005C6EB0" w:rsidRPr="005C6EB0">
        <w:rPr>
          <w:rFonts w:ascii="Georgia" w:hAnsi="Georgia"/>
        </w:rPr>
        <w:t>245</w:t>
      </w:r>
      <w:r w:rsidRPr="005C6EB0">
        <w:rPr>
          <w:rFonts w:ascii="Georgia" w:hAnsi="Georgia"/>
        </w:rPr>
        <w:t>.</w:t>
      </w:r>
    </w:p>
  </w:footnote>
  <w:footnote w:id="30">
    <w:p w:rsidR="005C6EB0" w:rsidRPr="005C6EB0" w:rsidRDefault="005C6EB0">
      <w:pPr>
        <w:pStyle w:val="FootnoteText"/>
        <w:rPr>
          <w:rFonts w:ascii="Georgia" w:hAnsi="Georgia"/>
        </w:rPr>
      </w:pPr>
      <w:r w:rsidRPr="005C6EB0">
        <w:rPr>
          <w:rStyle w:val="FootnoteReference"/>
          <w:rFonts w:ascii="Georgia" w:hAnsi="Georgia"/>
        </w:rPr>
        <w:footnoteRef/>
      </w:r>
      <w:r w:rsidRPr="005C6EB0">
        <w:rPr>
          <w:rFonts w:ascii="Georgia" w:hAnsi="Georgia"/>
        </w:rPr>
        <w:t xml:space="preserve"> </w:t>
      </w:r>
      <w:r w:rsidRPr="005C6EB0">
        <w:rPr>
          <w:rFonts w:ascii="Georgia" w:hAnsi="Georgia"/>
          <w:i/>
          <w:iCs/>
        </w:rPr>
        <w:t>Ex parte Duncan</w:t>
      </w:r>
      <w:r w:rsidRPr="005C6EB0">
        <w:rPr>
          <w:rFonts w:ascii="Georgia" w:hAnsi="Georgia"/>
        </w:rPr>
        <w:t xml:space="preserve"> (1879) 53 Cal. 410, 411 (quoting </w:t>
      </w:r>
      <w:r w:rsidRPr="005C6EB0">
        <w:rPr>
          <w:rFonts w:ascii="Georgia" w:hAnsi="Georgia"/>
          <w:i/>
          <w:iCs/>
        </w:rPr>
        <w:t>Ex Parte Ryan</w:t>
      </w:r>
      <w:r w:rsidRPr="005C6EB0">
        <w:rPr>
          <w:rFonts w:ascii="Georgia" w:hAnsi="Georgia"/>
        </w:rPr>
        <w:t xml:space="preserve"> (1872) 44 Cal. 555, 558).</w:t>
      </w:r>
    </w:p>
  </w:footnote>
  <w:footnote w:id="31">
    <w:p w:rsidR="005C6EB0" w:rsidRPr="005C6EB0" w:rsidRDefault="005C6EB0">
      <w:pPr>
        <w:pStyle w:val="FootnoteText"/>
        <w:rPr>
          <w:rFonts w:ascii="Georgia" w:hAnsi="Georgia"/>
        </w:rPr>
      </w:pPr>
      <w:r w:rsidRPr="005C6EB0">
        <w:rPr>
          <w:rStyle w:val="FootnoteReference"/>
          <w:rFonts w:ascii="Georgia" w:hAnsi="Georgia"/>
        </w:rPr>
        <w:footnoteRef/>
      </w:r>
      <w:r w:rsidRPr="005C6EB0">
        <w:rPr>
          <w:rFonts w:ascii="Georgia" w:hAnsi="Georgia"/>
        </w:rPr>
        <w:t xml:space="preserve"> </w:t>
      </w:r>
      <w:r w:rsidRPr="005C6EB0">
        <w:rPr>
          <w:rFonts w:ascii="Georgia" w:hAnsi="Georgia"/>
          <w:i/>
          <w:iCs/>
        </w:rPr>
        <w:t>Ex parte Ryan</w:t>
      </w:r>
      <w:r w:rsidRPr="005C6EB0">
        <w:rPr>
          <w:rFonts w:ascii="Georgia" w:hAnsi="Georgia"/>
        </w:rPr>
        <w:t xml:space="preserve"> (1872) 44 Cal. 555, 558.</w:t>
      </w:r>
    </w:p>
  </w:footnote>
  <w:footnote w:id="32">
    <w:p w:rsidR="005C6EB0" w:rsidRPr="005C6EB0" w:rsidRDefault="005C6EB0">
      <w:pPr>
        <w:pStyle w:val="FootnoteText"/>
      </w:pPr>
      <w:r w:rsidRPr="005C6EB0">
        <w:rPr>
          <w:rStyle w:val="FootnoteReference"/>
          <w:rFonts w:ascii="Georgia" w:hAnsi="Georgia"/>
        </w:rPr>
        <w:footnoteRef/>
      </w:r>
      <w:r w:rsidRPr="005C6EB0">
        <w:rPr>
          <w:rFonts w:ascii="Georgia" w:hAnsi="Georgia"/>
        </w:rPr>
        <w:t xml:space="preserve"> </w:t>
      </w:r>
      <w:r w:rsidRPr="005C6EB0">
        <w:rPr>
          <w:rFonts w:ascii="Georgia" w:hAnsi="Georgia"/>
          <w:i/>
          <w:iCs/>
        </w:rPr>
        <w:t>Id.</w:t>
      </w:r>
    </w:p>
  </w:footnote>
  <w:footnote w:id="33">
    <w:p w:rsidR="005C6EB0" w:rsidRPr="00D91B66" w:rsidRDefault="005C6EB0">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w:t>
      </w:r>
      <w:r w:rsidRPr="00D91B66">
        <w:rPr>
          <w:rFonts w:ascii="Georgia" w:hAnsi="Georgia"/>
          <w:i/>
          <w:iCs/>
        </w:rPr>
        <w:t>Id</w:t>
      </w:r>
      <w:r w:rsidRPr="00D91B66">
        <w:rPr>
          <w:rFonts w:ascii="Georgia" w:hAnsi="Georgia"/>
        </w:rPr>
        <w:t>. (emphasis added).</w:t>
      </w:r>
    </w:p>
  </w:footnote>
  <w:footnote w:id="34">
    <w:p w:rsidR="005C6EB0" w:rsidRPr="00D91B66" w:rsidRDefault="005C6EB0">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w:t>
      </w:r>
      <w:r w:rsidRPr="00D91B66">
        <w:rPr>
          <w:rFonts w:ascii="Georgia" w:hAnsi="Georgia"/>
          <w:i/>
          <w:iCs/>
        </w:rPr>
        <w:t>Ex parte Ruef</w:t>
      </w:r>
      <w:r w:rsidRPr="00D91B66">
        <w:rPr>
          <w:rFonts w:ascii="Georgia" w:hAnsi="Georgia"/>
        </w:rPr>
        <w:t xml:space="preserve"> (1908) 7 Cal.App 750, 752.  In its opinion, the Court discusses the issue of presuming guilt in two sentences and, even then, only to recite the rules from </w:t>
      </w:r>
      <w:r w:rsidRPr="00D91B66">
        <w:rPr>
          <w:rFonts w:ascii="Georgia" w:hAnsi="Georgia"/>
          <w:i/>
          <w:iCs/>
        </w:rPr>
        <w:t>Ryan</w:t>
      </w:r>
      <w:r w:rsidRPr="00D91B66">
        <w:rPr>
          <w:rFonts w:ascii="Georgia" w:hAnsi="Georgia"/>
        </w:rPr>
        <w:t xml:space="preserve"> and </w:t>
      </w:r>
      <w:r w:rsidRPr="00D91B66">
        <w:rPr>
          <w:rFonts w:ascii="Georgia" w:hAnsi="Georgia"/>
          <w:i/>
          <w:iCs/>
        </w:rPr>
        <w:t>Duncan</w:t>
      </w:r>
      <w:r w:rsidRPr="00D91B66">
        <w:rPr>
          <w:rFonts w:ascii="Georgia" w:hAnsi="Georgia"/>
        </w:rPr>
        <w:t>.</w:t>
      </w:r>
    </w:p>
  </w:footnote>
  <w:footnote w:id="35">
    <w:p w:rsidR="005C6EB0" w:rsidRPr="00D91B66" w:rsidRDefault="005C6EB0">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w:t>
      </w:r>
      <w:r w:rsidRPr="00D91B66">
        <w:rPr>
          <w:rFonts w:ascii="Georgia" w:hAnsi="Georgia"/>
          <w:i/>
          <w:iCs/>
        </w:rPr>
        <w:t>Humphrey</w:t>
      </w:r>
      <w:r w:rsidRPr="00D91B66">
        <w:rPr>
          <w:rFonts w:ascii="Georgia" w:hAnsi="Georgia"/>
        </w:rPr>
        <w:t xml:space="preserve">, </w:t>
      </w:r>
      <w:r w:rsidRPr="00D91B66">
        <w:rPr>
          <w:rFonts w:ascii="Georgia" w:hAnsi="Georgia"/>
          <w:i/>
          <w:iCs/>
        </w:rPr>
        <w:t>supra</w:t>
      </w:r>
      <w:r w:rsidRPr="00D91B66">
        <w:rPr>
          <w:rFonts w:ascii="Georgia" w:hAnsi="Georgia"/>
        </w:rPr>
        <w:t xml:space="preserve"> note 1 at 243.</w:t>
      </w:r>
    </w:p>
  </w:footnote>
  <w:footnote w:id="36">
    <w:p w:rsidR="005C6EB0" w:rsidRPr="00D91B66" w:rsidRDefault="005C6EB0">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w:t>
      </w:r>
      <w:r w:rsidRPr="00D91B66">
        <w:rPr>
          <w:rFonts w:ascii="Georgia" w:hAnsi="Georgia"/>
          <w:i/>
          <w:iCs/>
        </w:rPr>
        <w:t>People v. Dowdell</w:t>
      </w:r>
      <w:r w:rsidRPr="00D91B66">
        <w:rPr>
          <w:rFonts w:ascii="Georgia" w:hAnsi="Georgia"/>
        </w:rPr>
        <w:t xml:space="preserve"> (2014) 227 Cal.App.4th 1388, 1405 (quoting </w:t>
      </w:r>
      <w:r w:rsidRPr="00D91B66">
        <w:rPr>
          <w:rFonts w:ascii="Georgia" w:hAnsi="Georgia"/>
          <w:i/>
          <w:iCs/>
        </w:rPr>
        <w:t xml:space="preserve">Estelle v. Williams </w:t>
      </w:r>
      <w:r w:rsidRPr="00D91B66">
        <w:rPr>
          <w:rFonts w:ascii="Georgia" w:hAnsi="Georgia"/>
        </w:rPr>
        <w:t>(1976) 425 U.S. 501, 503).</w:t>
      </w:r>
    </w:p>
  </w:footnote>
  <w:footnote w:id="37">
    <w:p w:rsidR="005C6EB0" w:rsidRPr="00D91B66" w:rsidRDefault="005C6EB0">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w:t>
      </w:r>
      <w:r w:rsidRPr="00D91B66">
        <w:rPr>
          <w:rFonts w:ascii="Georgia" w:hAnsi="Georgia"/>
          <w:i/>
          <w:iCs/>
        </w:rPr>
        <w:t>People v. Troche</w:t>
      </w:r>
      <w:r w:rsidRPr="00D91B66">
        <w:rPr>
          <w:rFonts w:ascii="Georgia" w:hAnsi="Georgia"/>
        </w:rPr>
        <w:t xml:space="preserve"> (1928) 206 Cal. 35, 62.</w:t>
      </w:r>
    </w:p>
  </w:footnote>
  <w:footnote w:id="38">
    <w:p w:rsidR="005C6EB0" w:rsidRPr="005C6EB0" w:rsidRDefault="005C6EB0">
      <w:pPr>
        <w:pStyle w:val="FootnoteText"/>
      </w:pPr>
      <w:r w:rsidRPr="00D91B66">
        <w:rPr>
          <w:rStyle w:val="FootnoteReference"/>
          <w:rFonts w:ascii="Georgia" w:hAnsi="Georgia"/>
        </w:rPr>
        <w:footnoteRef/>
      </w:r>
      <w:r w:rsidRPr="00D91B66">
        <w:rPr>
          <w:rFonts w:ascii="Georgia" w:hAnsi="Georgia"/>
        </w:rPr>
        <w:t xml:space="preserve"> </w:t>
      </w:r>
      <w:r w:rsidRPr="00D91B66">
        <w:rPr>
          <w:rFonts w:ascii="Georgia" w:hAnsi="Georgia"/>
          <w:i/>
          <w:iCs/>
        </w:rPr>
        <w:t>In re Wong Hane</w:t>
      </w:r>
      <w:r w:rsidRPr="00D91B66">
        <w:rPr>
          <w:rFonts w:ascii="Georgia" w:hAnsi="Georgia"/>
        </w:rPr>
        <w:t xml:space="preserve"> (1895) 108 Cal. 680, 681.</w:t>
      </w:r>
    </w:p>
  </w:footnote>
  <w:footnote w:id="39">
    <w:p w:rsidR="005C6EB0" w:rsidRPr="00D91B66" w:rsidRDefault="005C6EB0">
      <w:pPr>
        <w:pStyle w:val="FootnoteText"/>
        <w:rPr>
          <w:rFonts w:ascii="Georgia" w:hAnsi="Georgia"/>
        </w:rPr>
      </w:pPr>
      <w:r w:rsidRPr="00D91B66">
        <w:rPr>
          <w:rStyle w:val="FootnoteReference"/>
          <w:rFonts w:ascii="Georgia" w:hAnsi="Georgia"/>
        </w:rPr>
        <w:footnoteRef/>
      </w:r>
      <w:r w:rsidRPr="00D91B66">
        <w:rPr>
          <w:rFonts w:ascii="Georgia" w:hAnsi="Georgia"/>
        </w:rPr>
        <w:t xml:space="preserve"> </w:t>
      </w:r>
      <w:r w:rsidRPr="00D91B66">
        <w:rPr>
          <w:rFonts w:ascii="Georgia" w:hAnsi="Georgia"/>
          <w:i/>
          <w:iCs/>
        </w:rPr>
        <w:t>Id</w:t>
      </w:r>
      <w:r w:rsidRPr="00D91B66">
        <w:rPr>
          <w:rFonts w:ascii="Georgia" w:hAnsi="Georgia"/>
        </w:rPr>
        <w:t>. at 682.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8E0" w:rsidRPr="00BD58E0" w:rsidRDefault="00BD58E0">
    <w:pPr>
      <w:pStyle w:val="Header"/>
      <w:rPr>
        <w:rFonts w:ascii="Georgia" w:hAnsi="Georgia"/>
        <w:sz w:val="22"/>
        <w:szCs w:val="22"/>
      </w:rPr>
    </w:pPr>
    <w:r w:rsidRPr="00BD58E0">
      <w:rPr>
        <w:rFonts w:ascii="Georgia" w:hAnsi="Georgia"/>
        <w:sz w:val="22"/>
        <w:szCs w:val="22"/>
      </w:rPr>
      <w:t>Lilit Arakelyan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4CAA3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6705AA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CCE01D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31847C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CF22CC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D24F6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76C9F6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BBCA1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324A5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CDCA5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F6DFB"/>
    <w:multiLevelType w:val="hybridMultilevel"/>
    <w:tmpl w:val="B5E00B40"/>
    <w:lvl w:ilvl="0" w:tplc="00D6839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AE2626"/>
    <w:multiLevelType w:val="hybridMultilevel"/>
    <w:tmpl w:val="3A288F84"/>
    <w:lvl w:ilvl="0" w:tplc="F21E0BC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65701A4"/>
    <w:multiLevelType w:val="hybridMultilevel"/>
    <w:tmpl w:val="3F7A78DE"/>
    <w:lvl w:ilvl="0" w:tplc="435484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2A102F"/>
    <w:multiLevelType w:val="hybridMultilevel"/>
    <w:tmpl w:val="97CE31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620689"/>
    <w:multiLevelType w:val="hybridMultilevel"/>
    <w:tmpl w:val="A65A6B9A"/>
    <w:lvl w:ilvl="0" w:tplc="3240498A">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4D59EB"/>
    <w:multiLevelType w:val="hybridMultilevel"/>
    <w:tmpl w:val="AAB223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814D8"/>
    <w:multiLevelType w:val="hybridMultilevel"/>
    <w:tmpl w:val="6EE24F84"/>
    <w:lvl w:ilvl="0" w:tplc="63C84EC6">
      <w:start w:val="1"/>
      <w:numFmt w:val="lowerLetter"/>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C1C420E"/>
    <w:multiLevelType w:val="hybridMultilevel"/>
    <w:tmpl w:val="E5CEB040"/>
    <w:lvl w:ilvl="0" w:tplc="D6E2381C">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8" w15:restartNumberingAfterBreak="0">
    <w:nsid w:val="79A21999"/>
    <w:multiLevelType w:val="hybridMultilevel"/>
    <w:tmpl w:val="59F0CC58"/>
    <w:lvl w:ilvl="0" w:tplc="331AD4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AB2297"/>
    <w:multiLevelType w:val="hybridMultilevel"/>
    <w:tmpl w:val="8CA8B0EA"/>
    <w:lvl w:ilvl="0" w:tplc="0AFA649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4"/>
  </w:num>
  <w:num w:numId="2">
    <w:abstractNumId w:val="15"/>
  </w:num>
  <w:num w:numId="3">
    <w:abstractNumId w:val="12"/>
  </w:num>
  <w:num w:numId="4">
    <w:abstractNumId w:val="10"/>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9"/>
  </w:num>
  <w:num w:numId="15">
    <w:abstractNumId w:val="17"/>
  </w:num>
  <w:num w:numId="16">
    <w:abstractNumId w:val="18"/>
  </w:num>
  <w:num w:numId="17">
    <w:abstractNumId w:val="13"/>
  </w:num>
  <w:num w:numId="18">
    <w:abstractNumId w:val="11"/>
  </w:num>
  <w:num w:numId="19">
    <w:abstractNumId w:val="19"/>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95B"/>
    <w:rsid w:val="000431AA"/>
    <w:rsid w:val="00107BD9"/>
    <w:rsid w:val="001808B0"/>
    <w:rsid w:val="00193995"/>
    <w:rsid w:val="002A7697"/>
    <w:rsid w:val="002B5D14"/>
    <w:rsid w:val="0047520A"/>
    <w:rsid w:val="004C4C2C"/>
    <w:rsid w:val="0052114B"/>
    <w:rsid w:val="00572756"/>
    <w:rsid w:val="005A38CD"/>
    <w:rsid w:val="005A7F71"/>
    <w:rsid w:val="005C6EB0"/>
    <w:rsid w:val="006751F4"/>
    <w:rsid w:val="006B70D0"/>
    <w:rsid w:val="008623DC"/>
    <w:rsid w:val="00A73CB9"/>
    <w:rsid w:val="00A769BE"/>
    <w:rsid w:val="00B00352"/>
    <w:rsid w:val="00B37D6B"/>
    <w:rsid w:val="00BD58E0"/>
    <w:rsid w:val="00C2335B"/>
    <w:rsid w:val="00C6789C"/>
    <w:rsid w:val="00D91B66"/>
    <w:rsid w:val="00DF01F8"/>
    <w:rsid w:val="00DF195B"/>
    <w:rsid w:val="00F36A26"/>
    <w:rsid w:val="00F57B62"/>
    <w:rsid w:val="00F75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06C2A"/>
  <w15:chartTrackingRefBased/>
  <w15:docId w15:val="{3385B6CE-7CBA-564B-AAB5-A832AA615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0D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95B"/>
    <w:pPr>
      <w:ind w:left="720"/>
      <w:contextualSpacing/>
    </w:pPr>
  </w:style>
  <w:style w:type="paragraph" w:styleId="Header">
    <w:name w:val="header"/>
    <w:basedOn w:val="Normal"/>
    <w:link w:val="HeaderChar"/>
    <w:uiPriority w:val="99"/>
    <w:unhideWhenUsed/>
    <w:rsid w:val="00DF195B"/>
    <w:pPr>
      <w:tabs>
        <w:tab w:val="center" w:pos="4680"/>
        <w:tab w:val="right" w:pos="9360"/>
      </w:tabs>
    </w:pPr>
  </w:style>
  <w:style w:type="character" w:customStyle="1" w:styleId="HeaderChar">
    <w:name w:val="Header Char"/>
    <w:basedOn w:val="DefaultParagraphFont"/>
    <w:link w:val="Header"/>
    <w:uiPriority w:val="99"/>
    <w:rsid w:val="00DF195B"/>
  </w:style>
  <w:style w:type="paragraph" w:styleId="Footer">
    <w:name w:val="footer"/>
    <w:basedOn w:val="Normal"/>
    <w:link w:val="FooterChar"/>
    <w:uiPriority w:val="99"/>
    <w:unhideWhenUsed/>
    <w:rsid w:val="00DF195B"/>
    <w:pPr>
      <w:tabs>
        <w:tab w:val="center" w:pos="4680"/>
        <w:tab w:val="right" w:pos="9360"/>
      </w:tabs>
    </w:pPr>
  </w:style>
  <w:style w:type="character" w:customStyle="1" w:styleId="FooterChar">
    <w:name w:val="Footer Char"/>
    <w:basedOn w:val="DefaultParagraphFont"/>
    <w:link w:val="Footer"/>
    <w:uiPriority w:val="99"/>
    <w:rsid w:val="00DF195B"/>
  </w:style>
  <w:style w:type="character" w:styleId="Hyperlink">
    <w:name w:val="Hyperlink"/>
    <w:basedOn w:val="DefaultParagraphFont"/>
    <w:uiPriority w:val="99"/>
    <w:unhideWhenUsed/>
    <w:rsid w:val="0047520A"/>
    <w:rPr>
      <w:color w:val="0563C1" w:themeColor="hyperlink"/>
      <w:u w:val="single"/>
    </w:rPr>
  </w:style>
  <w:style w:type="character" w:customStyle="1" w:styleId="UnresolvedMention">
    <w:name w:val="Unresolved Mention"/>
    <w:basedOn w:val="DefaultParagraphFont"/>
    <w:uiPriority w:val="99"/>
    <w:semiHidden/>
    <w:unhideWhenUsed/>
    <w:rsid w:val="0047520A"/>
    <w:rPr>
      <w:color w:val="605E5C"/>
      <w:shd w:val="clear" w:color="auto" w:fill="E1DFDD"/>
    </w:rPr>
  </w:style>
  <w:style w:type="paragraph" w:styleId="FootnoteText">
    <w:name w:val="footnote text"/>
    <w:basedOn w:val="Normal"/>
    <w:link w:val="FootnoteTextChar"/>
    <w:uiPriority w:val="99"/>
    <w:semiHidden/>
    <w:unhideWhenUsed/>
    <w:rsid w:val="00F75B40"/>
    <w:rPr>
      <w:sz w:val="20"/>
      <w:szCs w:val="20"/>
    </w:rPr>
  </w:style>
  <w:style w:type="character" w:customStyle="1" w:styleId="FootnoteTextChar">
    <w:name w:val="Footnote Text Char"/>
    <w:basedOn w:val="DefaultParagraphFont"/>
    <w:link w:val="FootnoteText"/>
    <w:uiPriority w:val="99"/>
    <w:semiHidden/>
    <w:rsid w:val="00F75B4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75B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5665">
      <w:bodyDiv w:val="1"/>
      <w:marLeft w:val="0"/>
      <w:marRight w:val="0"/>
      <w:marTop w:val="0"/>
      <w:marBottom w:val="0"/>
      <w:divBdr>
        <w:top w:val="none" w:sz="0" w:space="0" w:color="auto"/>
        <w:left w:val="none" w:sz="0" w:space="0" w:color="auto"/>
        <w:bottom w:val="none" w:sz="0" w:space="0" w:color="auto"/>
        <w:right w:val="none" w:sz="0" w:space="0" w:color="auto"/>
      </w:divBdr>
    </w:div>
    <w:div w:id="159585322">
      <w:bodyDiv w:val="1"/>
      <w:marLeft w:val="0"/>
      <w:marRight w:val="0"/>
      <w:marTop w:val="0"/>
      <w:marBottom w:val="0"/>
      <w:divBdr>
        <w:top w:val="none" w:sz="0" w:space="0" w:color="auto"/>
        <w:left w:val="none" w:sz="0" w:space="0" w:color="auto"/>
        <w:bottom w:val="none" w:sz="0" w:space="0" w:color="auto"/>
        <w:right w:val="none" w:sz="0" w:space="0" w:color="auto"/>
      </w:divBdr>
    </w:div>
    <w:div w:id="210508166">
      <w:bodyDiv w:val="1"/>
      <w:marLeft w:val="0"/>
      <w:marRight w:val="0"/>
      <w:marTop w:val="0"/>
      <w:marBottom w:val="0"/>
      <w:divBdr>
        <w:top w:val="none" w:sz="0" w:space="0" w:color="auto"/>
        <w:left w:val="none" w:sz="0" w:space="0" w:color="auto"/>
        <w:bottom w:val="none" w:sz="0" w:space="0" w:color="auto"/>
        <w:right w:val="none" w:sz="0" w:space="0" w:color="auto"/>
      </w:divBdr>
      <w:divsChild>
        <w:div w:id="502206092">
          <w:marLeft w:val="0"/>
          <w:marRight w:val="0"/>
          <w:marTop w:val="0"/>
          <w:marBottom w:val="0"/>
          <w:divBdr>
            <w:top w:val="single" w:sz="6" w:space="0" w:color="DADADA"/>
            <w:left w:val="single" w:sz="6" w:space="0" w:color="DADADA"/>
            <w:bottom w:val="single" w:sz="6" w:space="0" w:color="DADADA"/>
            <w:right w:val="single" w:sz="6" w:space="0" w:color="DADADA"/>
          </w:divBdr>
          <w:divsChild>
            <w:div w:id="118930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75601">
      <w:bodyDiv w:val="1"/>
      <w:marLeft w:val="0"/>
      <w:marRight w:val="0"/>
      <w:marTop w:val="0"/>
      <w:marBottom w:val="0"/>
      <w:divBdr>
        <w:top w:val="none" w:sz="0" w:space="0" w:color="auto"/>
        <w:left w:val="none" w:sz="0" w:space="0" w:color="auto"/>
        <w:bottom w:val="none" w:sz="0" w:space="0" w:color="auto"/>
        <w:right w:val="none" w:sz="0" w:space="0" w:color="auto"/>
      </w:divBdr>
    </w:div>
    <w:div w:id="263807539">
      <w:bodyDiv w:val="1"/>
      <w:marLeft w:val="0"/>
      <w:marRight w:val="0"/>
      <w:marTop w:val="0"/>
      <w:marBottom w:val="0"/>
      <w:divBdr>
        <w:top w:val="none" w:sz="0" w:space="0" w:color="auto"/>
        <w:left w:val="none" w:sz="0" w:space="0" w:color="auto"/>
        <w:bottom w:val="none" w:sz="0" w:space="0" w:color="auto"/>
        <w:right w:val="none" w:sz="0" w:space="0" w:color="auto"/>
      </w:divBdr>
    </w:div>
    <w:div w:id="280576170">
      <w:bodyDiv w:val="1"/>
      <w:marLeft w:val="0"/>
      <w:marRight w:val="0"/>
      <w:marTop w:val="0"/>
      <w:marBottom w:val="0"/>
      <w:divBdr>
        <w:top w:val="none" w:sz="0" w:space="0" w:color="auto"/>
        <w:left w:val="none" w:sz="0" w:space="0" w:color="auto"/>
        <w:bottom w:val="none" w:sz="0" w:space="0" w:color="auto"/>
        <w:right w:val="none" w:sz="0" w:space="0" w:color="auto"/>
      </w:divBdr>
      <w:divsChild>
        <w:div w:id="1953853832">
          <w:marLeft w:val="0"/>
          <w:marRight w:val="0"/>
          <w:marTop w:val="0"/>
          <w:marBottom w:val="0"/>
          <w:divBdr>
            <w:top w:val="single" w:sz="6" w:space="0" w:color="DADADA"/>
            <w:left w:val="single" w:sz="6" w:space="0" w:color="DADADA"/>
            <w:bottom w:val="single" w:sz="6" w:space="0" w:color="DADADA"/>
            <w:right w:val="single" w:sz="6" w:space="0" w:color="DADADA"/>
          </w:divBdr>
          <w:divsChild>
            <w:div w:id="171418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47698">
      <w:bodyDiv w:val="1"/>
      <w:marLeft w:val="0"/>
      <w:marRight w:val="0"/>
      <w:marTop w:val="0"/>
      <w:marBottom w:val="0"/>
      <w:divBdr>
        <w:top w:val="none" w:sz="0" w:space="0" w:color="auto"/>
        <w:left w:val="none" w:sz="0" w:space="0" w:color="auto"/>
        <w:bottom w:val="none" w:sz="0" w:space="0" w:color="auto"/>
        <w:right w:val="none" w:sz="0" w:space="0" w:color="auto"/>
      </w:divBdr>
    </w:div>
    <w:div w:id="301666395">
      <w:bodyDiv w:val="1"/>
      <w:marLeft w:val="0"/>
      <w:marRight w:val="0"/>
      <w:marTop w:val="0"/>
      <w:marBottom w:val="0"/>
      <w:divBdr>
        <w:top w:val="none" w:sz="0" w:space="0" w:color="auto"/>
        <w:left w:val="none" w:sz="0" w:space="0" w:color="auto"/>
        <w:bottom w:val="none" w:sz="0" w:space="0" w:color="auto"/>
        <w:right w:val="none" w:sz="0" w:space="0" w:color="auto"/>
      </w:divBdr>
    </w:div>
    <w:div w:id="377582810">
      <w:bodyDiv w:val="1"/>
      <w:marLeft w:val="0"/>
      <w:marRight w:val="0"/>
      <w:marTop w:val="0"/>
      <w:marBottom w:val="0"/>
      <w:divBdr>
        <w:top w:val="none" w:sz="0" w:space="0" w:color="auto"/>
        <w:left w:val="none" w:sz="0" w:space="0" w:color="auto"/>
        <w:bottom w:val="none" w:sz="0" w:space="0" w:color="auto"/>
        <w:right w:val="none" w:sz="0" w:space="0" w:color="auto"/>
      </w:divBdr>
      <w:divsChild>
        <w:div w:id="1384478372">
          <w:marLeft w:val="0"/>
          <w:marRight w:val="0"/>
          <w:marTop w:val="0"/>
          <w:marBottom w:val="0"/>
          <w:divBdr>
            <w:top w:val="single" w:sz="6" w:space="0" w:color="DADADA"/>
            <w:left w:val="single" w:sz="6" w:space="0" w:color="DADADA"/>
            <w:bottom w:val="single" w:sz="6" w:space="0" w:color="DADADA"/>
            <w:right w:val="single" w:sz="6" w:space="0" w:color="DADADA"/>
          </w:divBdr>
          <w:divsChild>
            <w:div w:id="51596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6998">
      <w:bodyDiv w:val="1"/>
      <w:marLeft w:val="0"/>
      <w:marRight w:val="0"/>
      <w:marTop w:val="0"/>
      <w:marBottom w:val="0"/>
      <w:divBdr>
        <w:top w:val="none" w:sz="0" w:space="0" w:color="auto"/>
        <w:left w:val="none" w:sz="0" w:space="0" w:color="auto"/>
        <w:bottom w:val="none" w:sz="0" w:space="0" w:color="auto"/>
        <w:right w:val="none" w:sz="0" w:space="0" w:color="auto"/>
      </w:divBdr>
    </w:div>
    <w:div w:id="573587200">
      <w:bodyDiv w:val="1"/>
      <w:marLeft w:val="0"/>
      <w:marRight w:val="0"/>
      <w:marTop w:val="0"/>
      <w:marBottom w:val="0"/>
      <w:divBdr>
        <w:top w:val="none" w:sz="0" w:space="0" w:color="auto"/>
        <w:left w:val="none" w:sz="0" w:space="0" w:color="auto"/>
        <w:bottom w:val="none" w:sz="0" w:space="0" w:color="auto"/>
        <w:right w:val="none" w:sz="0" w:space="0" w:color="auto"/>
      </w:divBdr>
      <w:divsChild>
        <w:div w:id="1754164065">
          <w:marLeft w:val="0"/>
          <w:marRight w:val="0"/>
          <w:marTop w:val="0"/>
          <w:marBottom w:val="0"/>
          <w:divBdr>
            <w:top w:val="single" w:sz="6" w:space="0" w:color="DADADA"/>
            <w:left w:val="single" w:sz="6" w:space="0" w:color="DADADA"/>
            <w:bottom w:val="single" w:sz="6" w:space="0" w:color="DADADA"/>
            <w:right w:val="single" w:sz="6" w:space="0" w:color="DADADA"/>
          </w:divBdr>
          <w:divsChild>
            <w:div w:id="1029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910968">
      <w:bodyDiv w:val="1"/>
      <w:marLeft w:val="0"/>
      <w:marRight w:val="0"/>
      <w:marTop w:val="0"/>
      <w:marBottom w:val="0"/>
      <w:divBdr>
        <w:top w:val="none" w:sz="0" w:space="0" w:color="auto"/>
        <w:left w:val="none" w:sz="0" w:space="0" w:color="auto"/>
        <w:bottom w:val="none" w:sz="0" w:space="0" w:color="auto"/>
        <w:right w:val="none" w:sz="0" w:space="0" w:color="auto"/>
      </w:divBdr>
    </w:div>
    <w:div w:id="623001219">
      <w:bodyDiv w:val="1"/>
      <w:marLeft w:val="0"/>
      <w:marRight w:val="0"/>
      <w:marTop w:val="0"/>
      <w:marBottom w:val="0"/>
      <w:divBdr>
        <w:top w:val="none" w:sz="0" w:space="0" w:color="auto"/>
        <w:left w:val="none" w:sz="0" w:space="0" w:color="auto"/>
        <w:bottom w:val="none" w:sz="0" w:space="0" w:color="auto"/>
        <w:right w:val="none" w:sz="0" w:space="0" w:color="auto"/>
      </w:divBdr>
      <w:divsChild>
        <w:div w:id="1154570854">
          <w:marLeft w:val="0"/>
          <w:marRight w:val="0"/>
          <w:marTop w:val="0"/>
          <w:marBottom w:val="0"/>
          <w:divBdr>
            <w:top w:val="single" w:sz="6" w:space="0" w:color="DADADA"/>
            <w:left w:val="single" w:sz="6" w:space="0" w:color="DADADA"/>
            <w:bottom w:val="single" w:sz="6" w:space="0" w:color="DADADA"/>
            <w:right w:val="single" w:sz="6" w:space="0" w:color="DADADA"/>
          </w:divBdr>
          <w:divsChild>
            <w:div w:id="137889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4816">
      <w:bodyDiv w:val="1"/>
      <w:marLeft w:val="0"/>
      <w:marRight w:val="0"/>
      <w:marTop w:val="0"/>
      <w:marBottom w:val="0"/>
      <w:divBdr>
        <w:top w:val="none" w:sz="0" w:space="0" w:color="auto"/>
        <w:left w:val="none" w:sz="0" w:space="0" w:color="auto"/>
        <w:bottom w:val="none" w:sz="0" w:space="0" w:color="auto"/>
        <w:right w:val="none" w:sz="0" w:space="0" w:color="auto"/>
      </w:divBdr>
    </w:div>
    <w:div w:id="770977709">
      <w:bodyDiv w:val="1"/>
      <w:marLeft w:val="0"/>
      <w:marRight w:val="0"/>
      <w:marTop w:val="0"/>
      <w:marBottom w:val="0"/>
      <w:divBdr>
        <w:top w:val="none" w:sz="0" w:space="0" w:color="auto"/>
        <w:left w:val="none" w:sz="0" w:space="0" w:color="auto"/>
        <w:bottom w:val="none" w:sz="0" w:space="0" w:color="auto"/>
        <w:right w:val="none" w:sz="0" w:space="0" w:color="auto"/>
      </w:divBdr>
    </w:div>
    <w:div w:id="819689025">
      <w:bodyDiv w:val="1"/>
      <w:marLeft w:val="0"/>
      <w:marRight w:val="0"/>
      <w:marTop w:val="0"/>
      <w:marBottom w:val="0"/>
      <w:divBdr>
        <w:top w:val="none" w:sz="0" w:space="0" w:color="auto"/>
        <w:left w:val="none" w:sz="0" w:space="0" w:color="auto"/>
        <w:bottom w:val="none" w:sz="0" w:space="0" w:color="auto"/>
        <w:right w:val="none" w:sz="0" w:space="0" w:color="auto"/>
      </w:divBdr>
      <w:divsChild>
        <w:div w:id="911738698">
          <w:marLeft w:val="0"/>
          <w:marRight w:val="0"/>
          <w:marTop w:val="0"/>
          <w:marBottom w:val="0"/>
          <w:divBdr>
            <w:top w:val="single" w:sz="6" w:space="0" w:color="DADADA"/>
            <w:left w:val="single" w:sz="6" w:space="0" w:color="DADADA"/>
            <w:bottom w:val="single" w:sz="6" w:space="0" w:color="DADADA"/>
            <w:right w:val="single" w:sz="6" w:space="0" w:color="DADADA"/>
          </w:divBdr>
          <w:divsChild>
            <w:div w:id="1469979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573059">
      <w:bodyDiv w:val="1"/>
      <w:marLeft w:val="0"/>
      <w:marRight w:val="0"/>
      <w:marTop w:val="0"/>
      <w:marBottom w:val="0"/>
      <w:divBdr>
        <w:top w:val="none" w:sz="0" w:space="0" w:color="auto"/>
        <w:left w:val="none" w:sz="0" w:space="0" w:color="auto"/>
        <w:bottom w:val="none" w:sz="0" w:space="0" w:color="auto"/>
        <w:right w:val="none" w:sz="0" w:space="0" w:color="auto"/>
      </w:divBdr>
    </w:div>
    <w:div w:id="920873487">
      <w:bodyDiv w:val="1"/>
      <w:marLeft w:val="0"/>
      <w:marRight w:val="0"/>
      <w:marTop w:val="0"/>
      <w:marBottom w:val="0"/>
      <w:divBdr>
        <w:top w:val="none" w:sz="0" w:space="0" w:color="auto"/>
        <w:left w:val="none" w:sz="0" w:space="0" w:color="auto"/>
        <w:bottom w:val="none" w:sz="0" w:space="0" w:color="auto"/>
        <w:right w:val="none" w:sz="0" w:space="0" w:color="auto"/>
      </w:divBdr>
    </w:div>
    <w:div w:id="967394130">
      <w:bodyDiv w:val="1"/>
      <w:marLeft w:val="0"/>
      <w:marRight w:val="0"/>
      <w:marTop w:val="0"/>
      <w:marBottom w:val="0"/>
      <w:divBdr>
        <w:top w:val="none" w:sz="0" w:space="0" w:color="auto"/>
        <w:left w:val="none" w:sz="0" w:space="0" w:color="auto"/>
        <w:bottom w:val="none" w:sz="0" w:space="0" w:color="auto"/>
        <w:right w:val="none" w:sz="0" w:space="0" w:color="auto"/>
      </w:divBdr>
      <w:divsChild>
        <w:div w:id="121265290">
          <w:marLeft w:val="0"/>
          <w:marRight w:val="0"/>
          <w:marTop w:val="0"/>
          <w:marBottom w:val="0"/>
          <w:divBdr>
            <w:top w:val="single" w:sz="6" w:space="0" w:color="DADADA"/>
            <w:left w:val="single" w:sz="6" w:space="0" w:color="DADADA"/>
            <w:bottom w:val="single" w:sz="6" w:space="0" w:color="DADADA"/>
            <w:right w:val="single" w:sz="6" w:space="0" w:color="DADADA"/>
          </w:divBdr>
          <w:divsChild>
            <w:div w:id="82663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303219">
      <w:bodyDiv w:val="1"/>
      <w:marLeft w:val="0"/>
      <w:marRight w:val="0"/>
      <w:marTop w:val="0"/>
      <w:marBottom w:val="0"/>
      <w:divBdr>
        <w:top w:val="none" w:sz="0" w:space="0" w:color="auto"/>
        <w:left w:val="none" w:sz="0" w:space="0" w:color="auto"/>
        <w:bottom w:val="none" w:sz="0" w:space="0" w:color="auto"/>
        <w:right w:val="none" w:sz="0" w:space="0" w:color="auto"/>
      </w:divBdr>
    </w:div>
    <w:div w:id="1069502081">
      <w:bodyDiv w:val="1"/>
      <w:marLeft w:val="0"/>
      <w:marRight w:val="0"/>
      <w:marTop w:val="0"/>
      <w:marBottom w:val="0"/>
      <w:divBdr>
        <w:top w:val="none" w:sz="0" w:space="0" w:color="auto"/>
        <w:left w:val="none" w:sz="0" w:space="0" w:color="auto"/>
        <w:bottom w:val="none" w:sz="0" w:space="0" w:color="auto"/>
        <w:right w:val="none" w:sz="0" w:space="0" w:color="auto"/>
      </w:divBdr>
    </w:div>
    <w:div w:id="1300040936">
      <w:bodyDiv w:val="1"/>
      <w:marLeft w:val="0"/>
      <w:marRight w:val="0"/>
      <w:marTop w:val="0"/>
      <w:marBottom w:val="0"/>
      <w:divBdr>
        <w:top w:val="none" w:sz="0" w:space="0" w:color="auto"/>
        <w:left w:val="none" w:sz="0" w:space="0" w:color="auto"/>
        <w:bottom w:val="none" w:sz="0" w:space="0" w:color="auto"/>
        <w:right w:val="none" w:sz="0" w:space="0" w:color="auto"/>
      </w:divBdr>
      <w:divsChild>
        <w:div w:id="334040207">
          <w:marLeft w:val="0"/>
          <w:marRight w:val="0"/>
          <w:marTop w:val="0"/>
          <w:marBottom w:val="0"/>
          <w:divBdr>
            <w:top w:val="single" w:sz="6" w:space="0" w:color="DADADA"/>
            <w:left w:val="single" w:sz="6" w:space="0" w:color="DADADA"/>
            <w:bottom w:val="single" w:sz="6" w:space="0" w:color="DADADA"/>
            <w:right w:val="single" w:sz="6" w:space="0" w:color="DADADA"/>
          </w:divBdr>
          <w:divsChild>
            <w:div w:id="103542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994057">
      <w:bodyDiv w:val="1"/>
      <w:marLeft w:val="0"/>
      <w:marRight w:val="0"/>
      <w:marTop w:val="0"/>
      <w:marBottom w:val="0"/>
      <w:divBdr>
        <w:top w:val="none" w:sz="0" w:space="0" w:color="auto"/>
        <w:left w:val="none" w:sz="0" w:space="0" w:color="auto"/>
        <w:bottom w:val="none" w:sz="0" w:space="0" w:color="auto"/>
        <w:right w:val="none" w:sz="0" w:space="0" w:color="auto"/>
      </w:divBdr>
    </w:div>
    <w:div w:id="1500923715">
      <w:bodyDiv w:val="1"/>
      <w:marLeft w:val="0"/>
      <w:marRight w:val="0"/>
      <w:marTop w:val="0"/>
      <w:marBottom w:val="0"/>
      <w:divBdr>
        <w:top w:val="none" w:sz="0" w:space="0" w:color="auto"/>
        <w:left w:val="none" w:sz="0" w:space="0" w:color="auto"/>
        <w:bottom w:val="none" w:sz="0" w:space="0" w:color="auto"/>
        <w:right w:val="none" w:sz="0" w:space="0" w:color="auto"/>
      </w:divBdr>
    </w:div>
    <w:div w:id="1516455517">
      <w:bodyDiv w:val="1"/>
      <w:marLeft w:val="0"/>
      <w:marRight w:val="0"/>
      <w:marTop w:val="0"/>
      <w:marBottom w:val="0"/>
      <w:divBdr>
        <w:top w:val="none" w:sz="0" w:space="0" w:color="auto"/>
        <w:left w:val="none" w:sz="0" w:space="0" w:color="auto"/>
        <w:bottom w:val="none" w:sz="0" w:space="0" w:color="auto"/>
        <w:right w:val="none" w:sz="0" w:space="0" w:color="auto"/>
      </w:divBdr>
    </w:div>
    <w:div w:id="1525900770">
      <w:bodyDiv w:val="1"/>
      <w:marLeft w:val="0"/>
      <w:marRight w:val="0"/>
      <w:marTop w:val="0"/>
      <w:marBottom w:val="0"/>
      <w:divBdr>
        <w:top w:val="none" w:sz="0" w:space="0" w:color="auto"/>
        <w:left w:val="none" w:sz="0" w:space="0" w:color="auto"/>
        <w:bottom w:val="none" w:sz="0" w:space="0" w:color="auto"/>
        <w:right w:val="none" w:sz="0" w:space="0" w:color="auto"/>
      </w:divBdr>
    </w:div>
    <w:div w:id="1537348735">
      <w:bodyDiv w:val="1"/>
      <w:marLeft w:val="0"/>
      <w:marRight w:val="0"/>
      <w:marTop w:val="0"/>
      <w:marBottom w:val="0"/>
      <w:divBdr>
        <w:top w:val="none" w:sz="0" w:space="0" w:color="auto"/>
        <w:left w:val="none" w:sz="0" w:space="0" w:color="auto"/>
        <w:bottom w:val="none" w:sz="0" w:space="0" w:color="auto"/>
        <w:right w:val="none" w:sz="0" w:space="0" w:color="auto"/>
      </w:divBdr>
    </w:div>
    <w:div w:id="1541741479">
      <w:bodyDiv w:val="1"/>
      <w:marLeft w:val="0"/>
      <w:marRight w:val="0"/>
      <w:marTop w:val="0"/>
      <w:marBottom w:val="0"/>
      <w:divBdr>
        <w:top w:val="none" w:sz="0" w:space="0" w:color="auto"/>
        <w:left w:val="none" w:sz="0" w:space="0" w:color="auto"/>
        <w:bottom w:val="none" w:sz="0" w:space="0" w:color="auto"/>
        <w:right w:val="none" w:sz="0" w:space="0" w:color="auto"/>
      </w:divBdr>
    </w:div>
    <w:div w:id="1648171645">
      <w:bodyDiv w:val="1"/>
      <w:marLeft w:val="0"/>
      <w:marRight w:val="0"/>
      <w:marTop w:val="0"/>
      <w:marBottom w:val="0"/>
      <w:divBdr>
        <w:top w:val="none" w:sz="0" w:space="0" w:color="auto"/>
        <w:left w:val="none" w:sz="0" w:space="0" w:color="auto"/>
        <w:bottom w:val="none" w:sz="0" w:space="0" w:color="auto"/>
        <w:right w:val="none" w:sz="0" w:space="0" w:color="auto"/>
      </w:divBdr>
      <w:divsChild>
        <w:div w:id="682247362">
          <w:marLeft w:val="0"/>
          <w:marRight w:val="0"/>
          <w:marTop w:val="0"/>
          <w:marBottom w:val="0"/>
          <w:divBdr>
            <w:top w:val="none" w:sz="0" w:space="0" w:color="auto"/>
            <w:left w:val="none" w:sz="0" w:space="0" w:color="auto"/>
            <w:bottom w:val="none" w:sz="0" w:space="0" w:color="auto"/>
            <w:right w:val="none" w:sz="0" w:space="0" w:color="auto"/>
          </w:divBdr>
        </w:div>
      </w:divsChild>
    </w:div>
    <w:div w:id="1949046427">
      <w:bodyDiv w:val="1"/>
      <w:marLeft w:val="0"/>
      <w:marRight w:val="0"/>
      <w:marTop w:val="0"/>
      <w:marBottom w:val="0"/>
      <w:divBdr>
        <w:top w:val="none" w:sz="0" w:space="0" w:color="auto"/>
        <w:left w:val="none" w:sz="0" w:space="0" w:color="auto"/>
        <w:bottom w:val="none" w:sz="0" w:space="0" w:color="auto"/>
        <w:right w:val="none" w:sz="0" w:space="0" w:color="auto"/>
      </w:divBdr>
    </w:div>
    <w:div w:id="1972401621">
      <w:bodyDiv w:val="1"/>
      <w:marLeft w:val="0"/>
      <w:marRight w:val="0"/>
      <w:marTop w:val="0"/>
      <w:marBottom w:val="0"/>
      <w:divBdr>
        <w:top w:val="none" w:sz="0" w:space="0" w:color="auto"/>
        <w:left w:val="none" w:sz="0" w:space="0" w:color="auto"/>
        <w:bottom w:val="none" w:sz="0" w:space="0" w:color="auto"/>
        <w:right w:val="none" w:sz="0" w:space="0" w:color="auto"/>
      </w:divBdr>
      <w:divsChild>
        <w:div w:id="657803832">
          <w:marLeft w:val="0"/>
          <w:marRight w:val="0"/>
          <w:marTop w:val="0"/>
          <w:marBottom w:val="0"/>
          <w:divBdr>
            <w:top w:val="single" w:sz="6" w:space="0" w:color="DADADA"/>
            <w:left w:val="single" w:sz="6" w:space="0" w:color="DADADA"/>
            <w:bottom w:val="single" w:sz="6" w:space="0" w:color="DADADA"/>
            <w:right w:val="single" w:sz="6" w:space="0" w:color="DADADA"/>
          </w:divBdr>
          <w:divsChild>
            <w:div w:id="163671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778616">
      <w:bodyDiv w:val="1"/>
      <w:marLeft w:val="0"/>
      <w:marRight w:val="0"/>
      <w:marTop w:val="0"/>
      <w:marBottom w:val="0"/>
      <w:divBdr>
        <w:top w:val="none" w:sz="0" w:space="0" w:color="auto"/>
        <w:left w:val="none" w:sz="0" w:space="0" w:color="auto"/>
        <w:bottom w:val="none" w:sz="0" w:space="0" w:color="auto"/>
        <w:right w:val="none" w:sz="0" w:space="0" w:color="auto"/>
      </w:divBdr>
    </w:div>
    <w:div w:id="2017295584">
      <w:bodyDiv w:val="1"/>
      <w:marLeft w:val="0"/>
      <w:marRight w:val="0"/>
      <w:marTop w:val="0"/>
      <w:marBottom w:val="0"/>
      <w:divBdr>
        <w:top w:val="none" w:sz="0" w:space="0" w:color="auto"/>
        <w:left w:val="none" w:sz="0" w:space="0" w:color="auto"/>
        <w:bottom w:val="none" w:sz="0" w:space="0" w:color="auto"/>
        <w:right w:val="none" w:sz="0" w:space="0" w:color="auto"/>
      </w:divBdr>
    </w:div>
    <w:div w:id="2106261687">
      <w:bodyDiv w:val="1"/>
      <w:marLeft w:val="0"/>
      <w:marRight w:val="0"/>
      <w:marTop w:val="0"/>
      <w:marBottom w:val="0"/>
      <w:divBdr>
        <w:top w:val="none" w:sz="0" w:space="0" w:color="auto"/>
        <w:left w:val="none" w:sz="0" w:space="0" w:color="auto"/>
        <w:bottom w:val="none" w:sz="0" w:space="0" w:color="auto"/>
        <w:right w:val="none" w:sz="0" w:space="0" w:color="auto"/>
      </w:divBdr>
    </w:div>
    <w:div w:id="211625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E2555-F42C-4FC3-AD7E-3295BB435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1088</TotalTime>
  <Pages>1</Pages>
  <Words>1897</Words>
  <Characters>10814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Arakelyan, Lilit</dc:creator>
  <cp:keywords/>
  <dc:description/>
  <cp:lastModifiedBy>Arakelyan, Lilit</cp:lastModifiedBy>
  <cp:revision>14</cp:revision>
  <cp:lastPrinted>2021-05-24T22:51:00Z</cp:lastPrinted>
  <dcterms:created xsi:type="dcterms:W3CDTF">2021-04-19T16:40:00Z</dcterms:created>
  <dcterms:modified xsi:type="dcterms:W3CDTF">2021-05-25T00:51:00Z</dcterms:modified>
</cp:coreProperties>
</file>