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E7BCA" w14:textId="07F6D412" w:rsidR="009D39B3" w:rsidRPr="006F5709" w:rsidRDefault="00593B32" w:rsidP="00924E43">
      <w:pPr>
        <w:pStyle w:val="Single"/>
        <w:spacing w:line="240" w:lineRule="auto"/>
        <w:rPr>
          <w:rFonts w:ascii="Century Schoolbook" w:hAnsi="Century Schoolbook"/>
          <w:sz w:val="24"/>
          <w:szCs w:val="24"/>
        </w:rPr>
      </w:pPr>
      <w:bookmarkStart w:id="0" w:name="_GoBack"/>
      <w:bookmarkEnd w:id="0"/>
      <w:r w:rsidRPr="006F5709">
        <w:rPr>
          <w:rFonts w:ascii="Century Schoolbook" w:hAnsi="Century Schoolbook"/>
          <w:sz w:val="24"/>
          <w:szCs w:val="24"/>
        </w:rPr>
        <w:t>Manohar Raju</w:t>
      </w:r>
      <w:r w:rsidR="00077F2B" w:rsidRPr="006F5709">
        <w:rPr>
          <w:rFonts w:ascii="Century Schoolbook" w:hAnsi="Century Schoolbook"/>
          <w:sz w:val="24"/>
          <w:szCs w:val="24"/>
        </w:rPr>
        <w:tab/>
      </w:r>
      <w:r w:rsidR="00077F2B" w:rsidRPr="006F5709">
        <w:rPr>
          <w:rFonts w:ascii="Century Schoolbook" w:hAnsi="Century Schoolbook"/>
          <w:sz w:val="24"/>
          <w:szCs w:val="24"/>
        </w:rPr>
        <w:tab/>
      </w:r>
      <w:r w:rsidR="00077F2B" w:rsidRPr="006F5709">
        <w:rPr>
          <w:rFonts w:ascii="Century Schoolbook" w:hAnsi="Century Schoolbook"/>
          <w:sz w:val="24"/>
          <w:szCs w:val="24"/>
        </w:rPr>
        <w:tab/>
      </w:r>
      <w:r w:rsidR="00077F2B" w:rsidRPr="006F5709">
        <w:rPr>
          <w:rFonts w:ascii="Century Schoolbook" w:hAnsi="Century Schoolbook"/>
          <w:sz w:val="24"/>
          <w:szCs w:val="24"/>
        </w:rPr>
        <w:tab/>
      </w:r>
      <w:r w:rsidR="00077F2B" w:rsidRPr="006F5709">
        <w:rPr>
          <w:rFonts w:ascii="Century Schoolbook" w:hAnsi="Century Schoolbook"/>
          <w:sz w:val="24"/>
          <w:szCs w:val="24"/>
        </w:rPr>
        <w:tab/>
      </w:r>
      <w:r w:rsidR="00077F2B" w:rsidRPr="006F5709">
        <w:rPr>
          <w:rFonts w:ascii="Century Schoolbook" w:hAnsi="Century Schoolbook"/>
          <w:sz w:val="24"/>
          <w:szCs w:val="24"/>
        </w:rPr>
        <w:tab/>
        <w:t xml:space="preserve">[Serve on ADA: </w:t>
      </w:r>
      <w:r w:rsidR="00077F2B" w:rsidRPr="006F5709">
        <w:rPr>
          <w:rFonts w:ascii="Century Schoolbook" w:hAnsi="Century Schoolbook"/>
          <w:sz w:val="24"/>
          <w:szCs w:val="24"/>
          <w:highlight w:val="yellow"/>
        </w:rPr>
        <w:t>________</w:t>
      </w:r>
      <w:r w:rsidR="00077F2B" w:rsidRPr="006F5709">
        <w:rPr>
          <w:rFonts w:ascii="Century Schoolbook" w:hAnsi="Century Schoolbook"/>
          <w:sz w:val="24"/>
          <w:szCs w:val="24"/>
        </w:rPr>
        <w:t>]</w:t>
      </w:r>
    </w:p>
    <w:p w14:paraId="1D8F9906" w14:textId="77777777"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Public Defender</w:t>
      </w:r>
    </w:p>
    <w:p w14:paraId="28EE4E34" w14:textId="77777777"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City and County of San Francisco</w:t>
      </w:r>
    </w:p>
    <w:p w14:paraId="593ADE41" w14:textId="77777777"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Matt Gonzalez</w:t>
      </w:r>
    </w:p>
    <w:p w14:paraId="426D5AC0" w14:textId="77777777"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Chief Attorney</w:t>
      </w:r>
    </w:p>
    <w:p w14:paraId="783F4A3E" w14:textId="2B2F4D0D" w:rsidR="009D39B3" w:rsidRPr="006F5709" w:rsidRDefault="00AA73F1" w:rsidP="00924E43">
      <w:pPr>
        <w:pStyle w:val="Single"/>
        <w:spacing w:line="240" w:lineRule="auto"/>
        <w:rPr>
          <w:rFonts w:ascii="Century Schoolbook" w:hAnsi="Century Schoolbook"/>
          <w:sz w:val="24"/>
          <w:szCs w:val="24"/>
        </w:rPr>
      </w:pPr>
      <w:r w:rsidRPr="006F5709">
        <w:rPr>
          <w:rFonts w:ascii="Century Schoolbook" w:hAnsi="Century Schoolbook"/>
          <w:sz w:val="24"/>
          <w:szCs w:val="24"/>
          <w:highlight w:val="yellow"/>
        </w:rPr>
        <w:t>______________</w:t>
      </w:r>
      <w:r w:rsidR="009D39B3" w:rsidRPr="006F5709">
        <w:rPr>
          <w:rFonts w:ascii="Century Schoolbook" w:hAnsi="Century Schoolbook"/>
          <w:sz w:val="24"/>
          <w:szCs w:val="24"/>
        </w:rPr>
        <w:t xml:space="preserve">, SBN </w:t>
      </w:r>
      <w:r w:rsidRPr="006F5709">
        <w:rPr>
          <w:rFonts w:ascii="Century Schoolbook" w:hAnsi="Century Schoolbook"/>
          <w:sz w:val="24"/>
          <w:szCs w:val="24"/>
          <w:highlight w:val="yellow"/>
        </w:rPr>
        <w:t>______</w:t>
      </w:r>
    </w:p>
    <w:p w14:paraId="2F102C34" w14:textId="77777777"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Deputy Public Defender</w:t>
      </w:r>
    </w:p>
    <w:p w14:paraId="1A7C8E26" w14:textId="77777777"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555 Seventh Street</w:t>
      </w:r>
    </w:p>
    <w:p w14:paraId="376617AE" w14:textId="77777777"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San Francisco, CA 94103</w:t>
      </w:r>
    </w:p>
    <w:p w14:paraId="62A739D0" w14:textId="76846BFD" w:rsidR="009D39B3" w:rsidRPr="006F5709" w:rsidRDefault="009D39B3" w:rsidP="00924E43">
      <w:pPr>
        <w:pStyle w:val="Single"/>
        <w:spacing w:line="240" w:lineRule="auto"/>
        <w:rPr>
          <w:rFonts w:ascii="Century Schoolbook" w:hAnsi="Century Schoolbook"/>
          <w:sz w:val="24"/>
          <w:szCs w:val="24"/>
        </w:rPr>
      </w:pPr>
      <w:r w:rsidRPr="006F5709">
        <w:rPr>
          <w:rFonts w:ascii="Century Schoolbook" w:hAnsi="Century Schoolbook"/>
          <w:sz w:val="24"/>
          <w:szCs w:val="24"/>
        </w:rPr>
        <w:t xml:space="preserve">(415) </w:t>
      </w:r>
      <w:r w:rsidRPr="006F5709">
        <w:rPr>
          <w:rFonts w:ascii="Century Schoolbook" w:hAnsi="Century Schoolbook"/>
          <w:sz w:val="24"/>
          <w:szCs w:val="24"/>
          <w:highlight w:val="yellow"/>
        </w:rPr>
        <w:t>________</w:t>
      </w:r>
      <w:r w:rsidR="00C37AF4" w:rsidRPr="006F5709">
        <w:rPr>
          <w:rFonts w:ascii="Century Schoolbook" w:hAnsi="Century Schoolbook"/>
          <w:sz w:val="24"/>
          <w:szCs w:val="24"/>
        </w:rPr>
        <w:t xml:space="preserve">; </w:t>
      </w:r>
      <w:r w:rsidR="00C37AF4" w:rsidRPr="006F5709">
        <w:rPr>
          <w:rFonts w:ascii="Century Schoolbook" w:hAnsi="Century Schoolbook"/>
          <w:sz w:val="24"/>
          <w:szCs w:val="24"/>
          <w:highlight w:val="yellow"/>
        </w:rPr>
        <w:t>______</w:t>
      </w:r>
      <w:r w:rsidR="00C37AF4" w:rsidRPr="006F5709">
        <w:rPr>
          <w:rFonts w:ascii="Century Schoolbook" w:hAnsi="Century Schoolbook"/>
          <w:sz w:val="24"/>
          <w:szCs w:val="24"/>
        </w:rPr>
        <w:t>.</w:t>
      </w:r>
      <w:r w:rsidR="00C37AF4" w:rsidRPr="006F5709">
        <w:rPr>
          <w:rFonts w:ascii="Century Schoolbook" w:hAnsi="Century Schoolbook"/>
          <w:sz w:val="24"/>
          <w:szCs w:val="24"/>
          <w:highlight w:val="yellow"/>
        </w:rPr>
        <w:t>______</w:t>
      </w:r>
      <w:r w:rsidR="00C37AF4" w:rsidRPr="006F5709">
        <w:rPr>
          <w:rFonts w:ascii="Century Schoolbook" w:hAnsi="Century Schoolbook"/>
          <w:sz w:val="24"/>
          <w:szCs w:val="24"/>
        </w:rPr>
        <w:t>@sfgov.org</w:t>
      </w:r>
    </w:p>
    <w:p w14:paraId="7FCF4553" w14:textId="44458468" w:rsidR="009D39B3" w:rsidRPr="006F5709" w:rsidRDefault="009D39B3" w:rsidP="00924E43">
      <w:pPr>
        <w:spacing w:line="240" w:lineRule="auto"/>
        <w:ind w:firstLine="0"/>
        <w:rPr>
          <w:rFonts w:eastAsia="Bookman Old Style"/>
          <w:szCs w:val="24"/>
        </w:rPr>
      </w:pPr>
      <w:r w:rsidRPr="006F5709">
        <w:rPr>
          <w:rFonts w:eastAsia="Bookman Old Style"/>
          <w:szCs w:val="24"/>
        </w:rPr>
        <w:t xml:space="preserve">Attorneys for </w:t>
      </w:r>
      <w:r w:rsidR="00AA73F1" w:rsidRPr="006F5709">
        <w:rPr>
          <w:rFonts w:eastAsia="Bookman Old Style"/>
          <w:szCs w:val="24"/>
          <w:highlight w:val="yellow"/>
        </w:rPr>
        <w:t>_________</w:t>
      </w:r>
    </w:p>
    <w:p w14:paraId="65B91A29" w14:textId="77777777" w:rsidR="00AA73F1" w:rsidRPr="006F5709" w:rsidRDefault="00AA73F1" w:rsidP="001F286A">
      <w:pPr>
        <w:pStyle w:val="Title"/>
        <w:numPr>
          <w:ilvl w:val="0"/>
          <w:numId w:val="0"/>
        </w:numPr>
        <w:spacing w:line="240" w:lineRule="auto"/>
        <w:rPr>
          <w:rFonts w:ascii="Century Schoolbook" w:eastAsia="Bookman Old Style" w:hAnsi="Century Schoolbook"/>
          <w:sz w:val="24"/>
          <w:szCs w:val="24"/>
        </w:rPr>
      </w:pPr>
    </w:p>
    <w:p w14:paraId="15194CA3" w14:textId="50ABB12E" w:rsidR="00386A00" w:rsidRPr="006F5709" w:rsidRDefault="00386A00" w:rsidP="001F286A">
      <w:pPr>
        <w:pStyle w:val="Title"/>
        <w:numPr>
          <w:ilvl w:val="0"/>
          <w:numId w:val="0"/>
        </w:numPr>
        <w:spacing w:line="240" w:lineRule="auto"/>
        <w:rPr>
          <w:rFonts w:ascii="Century Schoolbook" w:eastAsia="Bookman Old Style" w:hAnsi="Century Schoolbook"/>
          <w:sz w:val="24"/>
          <w:szCs w:val="24"/>
        </w:rPr>
      </w:pPr>
      <w:r w:rsidRPr="006F5709">
        <w:rPr>
          <w:rFonts w:ascii="Century Schoolbook" w:eastAsia="Bookman Old Style" w:hAnsi="Century Schoolbook"/>
          <w:sz w:val="24"/>
          <w:szCs w:val="24"/>
        </w:rPr>
        <w:t>Superior Court of California</w:t>
      </w:r>
    </w:p>
    <w:p w14:paraId="069DB7D3" w14:textId="77777777" w:rsidR="00386A00" w:rsidRPr="006F5709" w:rsidRDefault="000C7778" w:rsidP="001F286A">
      <w:pPr>
        <w:pStyle w:val="Title"/>
        <w:numPr>
          <w:ilvl w:val="0"/>
          <w:numId w:val="0"/>
        </w:numPr>
        <w:spacing w:line="240" w:lineRule="auto"/>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City and </w:t>
      </w:r>
      <w:r w:rsidR="00C61EA8" w:rsidRPr="006F5709">
        <w:rPr>
          <w:rFonts w:ascii="Century Schoolbook" w:eastAsia="Bookman Old Style" w:hAnsi="Century Schoolbook"/>
          <w:sz w:val="24"/>
          <w:szCs w:val="24"/>
        </w:rPr>
        <w:t xml:space="preserve">County of </w:t>
      </w:r>
      <w:r w:rsidR="00386A00" w:rsidRPr="006F5709">
        <w:rPr>
          <w:rFonts w:ascii="Century Schoolbook" w:eastAsia="Bookman Old Style" w:hAnsi="Century Schoolbook"/>
          <w:sz w:val="24"/>
          <w:szCs w:val="24"/>
        </w:rPr>
        <w:t>San Francisco</w:t>
      </w:r>
    </w:p>
    <w:tbl>
      <w:tblPr>
        <w:tblW w:w="9360" w:type="dxa"/>
        <w:tblInd w:w="8" w:type="dxa"/>
        <w:tblLayout w:type="fixed"/>
        <w:tblLook w:val="0000" w:firstRow="0" w:lastRow="0" w:firstColumn="0" w:lastColumn="0" w:noHBand="0" w:noVBand="0"/>
      </w:tblPr>
      <w:tblGrid>
        <w:gridCol w:w="4500"/>
        <w:gridCol w:w="4860"/>
      </w:tblGrid>
      <w:tr w:rsidR="00386A00" w:rsidRPr="006F5709" w14:paraId="28ACB332" w14:textId="77777777" w:rsidTr="00D3638A">
        <w:trPr>
          <w:trHeight w:val="2900"/>
        </w:trPr>
        <w:tc>
          <w:tcPr>
            <w:tcW w:w="4500" w:type="dxa"/>
            <w:tcBorders>
              <w:bottom w:val="single" w:sz="4" w:space="0" w:color="000000"/>
              <w:right w:val="single" w:sz="4" w:space="0" w:color="000000"/>
            </w:tcBorders>
          </w:tcPr>
          <w:p w14:paraId="392A7DF4" w14:textId="77777777" w:rsidR="00386A00" w:rsidRPr="006F5709" w:rsidRDefault="00386A00" w:rsidP="001F286A">
            <w:pPr>
              <w:spacing w:line="240" w:lineRule="auto"/>
              <w:ind w:firstLine="0"/>
              <w:rPr>
                <w:rFonts w:eastAsia="Bookman Old Style"/>
                <w:b/>
                <w:szCs w:val="24"/>
              </w:rPr>
            </w:pPr>
            <w:bookmarkStart w:id="1" w:name="gjdgxs" w:colFirst="0" w:colLast="0"/>
            <w:bookmarkStart w:id="2" w:name="30j0zll" w:colFirst="0" w:colLast="0"/>
            <w:bookmarkEnd w:id="1"/>
            <w:bookmarkEnd w:id="2"/>
            <w:r w:rsidRPr="006F5709">
              <w:rPr>
                <w:rFonts w:eastAsia="Bookman Old Style"/>
                <w:b/>
                <w:szCs w:val="24"/>
              </w:rPr>
              <w:br/>
              <w:t>People of the State of California,</w:t>
            </w:r>
          </w:p>
          <w:p w14:paraId="2E2ED5E1" w14:textId="77777777" w:rsidR="00386A00" w:rsidRPr="006F5709" w:rsidRDefault="00386A00" w:rsidP="001F286A">
            <w:pPr>
              <w:spacing w:line="240" w:lineRule="auto"/>
              <w:ind w:firstLine="0"/>
              <w:rPr>
                <w:rFonts w:eastAsia="Bookman Old Style"/>
                <w:szCs w:val="24"/>
              </w:rPr>
            </w:pPr>
          </w:p>
          <w:p w14:paraId="55CFE337" w14:textId="77777777" w:rsidR="00386A00" w:rsidRPr="006F5709" w:rsidRDefault="00386A00" w:rsidP="001F286A">
            <w:pPr>
              <w:spacing w:line="240" w:lineRule="auto"/>
              <w:ind w:firstLine="0"/>
              <w:rPr>
                <w:rFonts w:eastAsia="Bookman Old Style"/>
                <w:szCs w:val="24"/>
              </w:rPr>
            </w:pPr>
            <w:r w:rsidRPr="006F5709">
              <w:rPr>
                <w:rFonts w:eastAsia="Bookman Old Style"/>
                <w:szCs w:val="24"/>
              </w:rPr>
              <w:tab/>
            </w:r>
            <w:r w:rsidRPr="006F5709">
              <w:rPr>
                <w:rFonts w:eastAsia="Bookman Old Style"/>
                <w:szCs w:val="24"/>
              </w:rPr>
              <w:tab/>
              <w:t>Plaintiff,</w:t>
            </w:r>
          </w:p>
          <w:p w14:paraId="234CA3F4" w14:textId="77777777" w:rsidR="00386A00" w:rsidRPr="006F5709" w:rsidRDefault="00386A00" w:rsidP="001F286A">
            <w:pPr>
              <w:spacing w:line="240" w:lineRule="auto"/>
              <w:ind w:firstLine="0"/>
              <w:rPr>
                <w:rFonts w:eastAsia="Bookman Old Style"/>
                <w:szCs w:val="24"/>
              </w:rPr>
            </w:pPr>
          </w:p>
          <w:p w14:paraId="4E3A7B7E" w14:textId="77777777" w:rsidR="00386A00" w:rsidRPr="006F5709" w:rsidRDefault="00386A00" w:rsidP="001F286A">
            <w:pPr>
              <w:spacing w:line="240" w:lineRule="auto"/>
              <w:ind w:firstLine="0"/>
              <w:rPr>
                <w:rFonts w:eastAsia="Bookman Old Style"/>
                <w:szCs w:val="24"/>
              </w:rPr>
            </w:pPr>
            <w:r w:rsidRPr="006F5709">
              <w:rPr>
                <w:rFonts w:eastAsia="Bookman Old Style"/>
                <w:szCs w:val="24"/>
              </w:rPr>
              <w:tab/>
              <w:t>vs.</w:t>
            </w:r>
          </w:p>
          <w:p w14:paraId="34A05EED" w14:textId="77777777" w:rsidR="00386A00" w:rsidRPr="006F5709" w:rsidRDefault="00386A00" w:rsidP="001F286A">
            <w:pPr>
              <w:spacing w:line="240" w:lineRule="auto"/>
              <w:ind w:firstLine="0"/>
              <w:rPr>
                <w:rFonts w:eastAsia="Bookman Old Style"/>
                <w:b/>
                <w:szCs w:val="24"/>
              </w:rPr>
            </w:pPr>
          </w:p>
          <w:p w14:paraId="07666EE3" w14:textId="22226CB5" w:rsidR="009D39B3" w:rsidRPr="006F5709" w:rsidRDefault="001E79D5" w:rsidP="009D39B3">
            <w:pPr>
              <w:spacing w:line="240" w:lineRule="auto"/>
              <w:ind w:firstLine="0"/>
              <w:rPr>
                <w:rFonts w:eastAsia="Bookman Old Style"/>
                <w:b/>
                <w:szCs w:val="24"/>
              </w:rPr>
            </w:pPr>
            <w:r w:rsidRPr="006F5709">
              <w:rPr>
                <w:rFonts w:eastAsia="Bookman Old Style"/>
                <w:b/>
                <w:szCs w:val="24"/>
                <w:highlight w:val="yellow"/>
              </w:rPr>
              <w:t>_______________</w:t>
            </w:r>
            <w:r w:rsidR="009D39B3" w:rsidRPr="006F5709">
              <w:rPr>
                <w:rFonts w:eastAsia="Bookman Old Style"/>
                <w:b/>
                <w:szCs w:val="24"/>
              </w:rPr>
              <w:t>,</w:t>
            </w:r>
          </w:p>
          <w:p w14:paraId="7FB8A432" w14:textId="77777777" w:rsidR="00386A00" w:rsidRPr="006F5709" w:rsidRDefault="00386A00" w:rsidP="001F286A">
            <w:pPr>
              <w:spacing w:line="240" w:lineRule="auto"/>
              <w:ind w:firstLine="0"/>
              <w:rPr>
                <w:rFonts w:eastAsia="Bookman Old Style"/>
                <w:szCs w:val="24"/>
              </w:rPr>
            </w:pPr>
          </w:p>
          <w:p w14:paraId="69801908" w14:textId="77777777" w:rsidR="00386A00" w:rsidRPr="006F5709" w:rsidRDefault="00386A00" w:rsidP="001F286A">
            <w:pPr>
              <w:spacing w:line="240" w:lineRule="auto"/>
              <w:ind w:firstLine="0"/>
              <w:rPr>
                <w:rFonts w:eastAsia="Bookman Old Style"/>
                <w:szCs w:val="24"/>
              </w:rPr>
            </w:pPr>
            <w:r w:rsidRPr="006F5709">
              <w:rPr>
                <w:rFonts w:eastAsia="Bookman Old Style"/>
                <w:szCs w:val="24"/>
              </w:rPr>
              <w:tab/>
            </w:r>
            <w:r w:rsidRPr="006F5709">
              <w:rPr>
                <w:rFonts w:eastAsia="Bookman Old Style"/>
                <w:szCs w:val="24"/>
              </w:rPr>
              <w:tab/>
              <w:t>Defendant.</w:t>
            </w:r>
          </w:p>
        </w:tc>
        <w:tc>
          <w:tcPr>
            <w:tcW w:w="4860" w:type="dxa"/>
            <w:tcBorders>
              <w:left w:val="nil"/>
            </w:tcBorders>
          </w:tcPr>
          <w:p w14:paraId="724D464F" w14:textId="77777777" w:rsidR="00386A00" w:rsidRPr="006F5709" w:rsidRDefault="00386A00" w:rsidP="001F286A">
            <w:pPr>
              <w:spacing w:line="240" w:lineRule="auto"/>
              <w:ind w:left="532" w:firstLine="0"/>
              <w:rPr>
                <w:rFonts w:eastAsia="Bookman Old Style"/>
                <w:szCs w:val="24"/>
              </w:rPr>
            </w:pPr>
          </w:p>
          <w:p w14:paraId="198F2EF3" w14:textId="77777777" w:rsidR="009D39B3" w:rsidRPr="006F5709" w:rsidRDefault="009D39B3" w:rsidP="009D39B3">
            <w:pPr>
              <w:spacing w:line="240" w:lineRule="auto"/>
              <w:ind w:left="532" w:firstLine="0"/>
              <w:rPr>
                <w:rFonts w:eastAsia="Bookman Old Style"/>
                <w:szCs w:val="24"/>
              </w:rPr>
            </w:pPr>
            <w:r w:rsidRPr="006F5709">
              <w:rPr>
                <w:rFonts w:eastAsia="Bookman Old Style"/>
                <w:szCs w:val="24"/>
              </w:rPr>
              <w:t xml:space="preserve">Court No: </w:t>
            </w:r>
            <w:r w:rsidRPr="006F5709">
              <w:rPr>
                <w:rFonts w:eastAsia="Bookman Old Style"/>
                <w:szCs w:val="24"/>
                <w:highlight w:val="yellow"/>
              </w:rPr>
              <w:t>_______________</w:t>
            </w:r>
          </w:p>
          <w:p w14:paraId="2508E9A2" w14:textId="77777777" w:rsidR="009D39B3" w:rsidRPr="006F5709" w:rsidRDefault="009D39B3" w:rsidP="009D39B3">
            <w:pPr>
              <w:spacing w:line="240" w:lineRule="auto"/>
              <w:ind w:left="532" w:firstLine="0"/>
              <w:rPr>
                <w:rFonts w:eastAsia="Bookman Old Style"/>
                <w:szCs w:val="24"/>
              </w:rPr>
            </w:pPr>
          </w:p>
          <w:p w14:paraId="61F7BF05" w14:textId="71C0908E" w:rsidR="009D39B3" w:rsidRPr="006F5709" w:rsidRDefault="009D39B3" w:rsidP="009D39B3">
            <w:pPr>
              <w:pStyle w:val="Title"/>
              <w:numPr>
                <w:ilvl w:val="0"/>
                <w:numId w:val="0"/>
              </w:numPr>
              <w:spacing w:line="240" w:lineRule="auto"/>
              <w:ind w:left="532"/>
              <w:jc w:val="left"/>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Motion </w:t>
            </w:r>
            <w:r w:rsidR="00B801AD">
              <w:rPr>
                <w:rFonts w:ascii="Century Schoolbook" w:eastAsia="Bookman Old Style" w:hAnsi="Century Schoolbook"/>
                <w:sz w:val="24"/>
                <w:szCs w:val="24"/>
              </w:rPr>
              <w:t>to Release Defendant</w:t>
            </w:r>
            <w:r w:rsidR="00FF0314">
              <w:rPr>
                <w:rFonts w:ascii="Century Schoolbook" w:eastAsia="Bookman Old Style" w:hAnsi="Century Schoolbook"/>
                <w:sz w:val="24"/>
                <w:szCs w:val="24"/>
              </w:rPr>
              <w:t xml:space="preserve"> on</w:t>
            </w:r>
            <w:r w:rsidR="00B801AD">
              <w:rPr>
                <w:rFonts w:ascii="Century Schoolbook" w:eastAsia="Bookman Old Style" w:hAnsi="Century Schoolbook"/>
                <w:sz w:val="24"/>
                <w:szCs w:val="24"/>
              </w:rPr>
              <w:t xml:space="preserve"> </w:t>
            </w:r>
            <w:r w:rsidRPr="006F5709">
              <w:rPr>
                <w:rFonts w:ascii="Century Schoolbook" w:eastAsia="Bookman Old Style" w:hAnsi="Century Schoolbook"/>
                <w:sz w:val="24"/>
                <w:szCs w:val="24"/>
              </w:rPr>
              <w:t xml:space="preserve"> Own Recognizance or </w:t>
            </w:r>
            <w:r w:rsidR="00B801AD">
              <w:rPr>
                <w:rFonts w:ascii="Century Schoolbook" w:eastAsia="Bookman Old Style" w:hAnsi="Century Schoolbook"/>
                <w:sz w:val="24"/>
                <w:szCs w:val="24"/>
              </w:rPr>
              <w:t xml:space="preserve">on Affordable </w:t>
            </w:r>
            <w:r w:rsidRPr="006F5709">
              <w:rPr>
                <w:rFonts w:ascii="Century Schoolbook" w:eastAsia="Bookman Old Style" w:hAnsi="Century Schoolbook"/>
                <w:sz w:val="24"/>
                <w:szCs w:val="24"/>
              </w:rPr>
              <w:t>Bail</w:t>
            </w:r>
            <w:r w:rsidR="00B801AD">
              <w:rPr>
                <w:rFonts w:ascii="Century Schoolbook" w:eastAsia="Bookman Old Style" w:hAnsi="Century Schoolbook"/>
                <w:sz w:val="24"/>
                <w:szCs w:val="24"/>
              </w:rPr>
              <w:t xml:space="preserve"> (</w:t>
            </w:r>
            <w:r w:rsidR="00B801AD" w:rsidRPr="00B801AD">
              <w:rPr>
                <w:rFonts w:ascii="Century Schoolbook" w:eastAsia="Bookman Old Style" w:hAnsi="Century Schoolbook"/>
                <w:i/>
                <w:iCs/>
                <w:sz w:val="24"/>
                <w:szCs w:val="24"/>
              </w:rPr>
              <w:t>In re Humphrey</w:t>
            </w:r>
            <w:r w:rsidR="00B801AD">
              <w:rPr>
                <w:rFonts w:ascii="Century Schoolbook" w:eastAsia="Bookman Old Style" w:hAnsi="Century Schoolbook"/>
                <w:sz w:val="24"/>
                <w:szCs w:val="24"/>
              </w:rPr>
              <w:t>)</w:t>
            </w:r>
          </w:p>
          <w:p w14:paraId="7868147B" w14:textId="77777777" w:rsidR="009D39B3" w:rsidRPr="006F5709" w:rsidRDefault="009D39B3" w:rsidP="009D39B3">
            <w:pPr>
              <w:spacing w:line="240" w:lineRule="auto"/>
              <w:ind w:left="532" w:firstLine="0"/>
              <w:rPr>
                <w:rFonts w:eastAsia="Bookman Old Style"/>
                <w:szCs w:val="24"/>
              </w:rPr>
            </w:pPr>
          </w:p>
          <w:p w14:paraId="4BE6A194" w14:textId="77777777" w:rsidR="009D39B3" w:rsidRPr="006F5709" w:rsidRDefault="009D39B3" w:rsidP="009D39B3">
            <w:pPr>
              <w:spacing w:line="240" w:lineRule="auto"/>
              <w:ind w:left="532" w:firstLine="0"/>
              <w:rPr>
                <w:rFonts w:eastAsia="Bookman Old Style"/>
                <w:szCs w:val="24"/>
              </w:rPr>
            </w:pPr>
            <w:r w:rsidRPr="006F5709">
              <w:rPr>
                <w:rFonts w:eastAsia="Bookman Old Style"/>
                <w:szCs w:val="24"/>
              </w:rPr>
              <w:t>Date:</w:t>
            </w:r>
            <w:r w:rsidRPr="006F5709">
              <w:rPr>
                <w:rFonts w:eastAsia="Bookman Old Style"/>
                <w:szCs w:val="24"/>
              </w:rPr>
              <w:tab/>
            </w:r>
            <w:r w:rsidRPr="006F5709">
              <w:rPr>
                <w:rFonts w:eastAsia="Bookman Old Style"/>
                <w:szCs w:val="24"/>
                <w:highlight w:val="yellow"/>
              </w:rPr>
              <w:t>_______</w:t>
            </w:r>
          </w:p>
          <w:p w14:paraId="69D17E02" w14:textId="77777777" w:rsidR="009D39B3" w:rsidRPr="006F5709" w:rsidRDefault="009D39B3" w:rsidP="009D39B3">
            <w:pPr>
              <w:spacing w:line="240" w:lineRule="auto"/>
              <w:ind w:left="532" w:firstLine="0"/>
              <w:rPr>
                <w:rFonts w:eastAsia="Bookman Old Style"/>
                <w:szCs w:val="24"/>
              </w:rPr>
            </w:pPr>
            <w:r w:rsidRPr="006F5709">
              <w:rPr>
                <w:rFonts w:eastAsia="Bookman Old Style"/>
                <w:szCs w:val="24"/>
              </w:rPr>
              <w:t xml:space="preserve">Time: </w:t>
            </w:r>
            <w:r w:rsidRPr="006F5709">
              <w:rPr>
                <w:rFonts w:eastAsia="Bookman Old Style"/>
                <w:szCs w:val="24"/>
              </w:rPr>
              <w:tab/>
            </w:r>
            <w:r w:rsidRPr="006F5709">
              <w:rPr>
                <w:rFonts w:eastAsia="Bookman Old Style"/>
                <w:szCs w:val="24"/>
                <w:highlight w:val="yellow"/>
              </w:rPr>
              <w:t>_______</w:t>
            </w:r>
          </w:p>
          <w:p w14:paraId="24DC0B5D" w14:textId="77777777" w:rsidR="00386A00" w:rsidRPr="006F5709" w:rsidRDefault="009D39B3" w:rsidP="009D39B3">
            <w:pPr>
              <w:spacing w:line="240" w:lineRule="auto"/>
              <w:ind w:left="532" w:firstLine="0"/>
              <w:rPr>
                <w:rFonts w:eastAsia="Bookman Old Style"/>
                <w:szCs w:val="24"/>
              </w:rPr>
            </w:pPr>
            <w:r w:rsidRPr="006F5709">
              <w:rPr>
                <w:rFonts w:eastAsia="Bookman Old Style"/>
                <w:szCs w:val="24"/>
              </w:rPr>
              <w:t xml:space="preserve">Dept:  </w:t>
            </w:r>
            <w:r w:rsidRPr="006F5709">
              <w:rPr>
                <w:rFonts w:eastAsia="Bookman Old Style"/>
                <w:szCs w:val="24"/>
              </w:rPr>
              <w:tab/>
            </w:r>
            <w:r w:rsidRPr="006F5709">
              <w:rPr>
                <w:rFonts w:eastAsia="Bookman Old Style"/>
                <w:szCs w:val="24"/>
                <w:highlight w:val="yellow"/>
              </w:rPr>
              <w:t>___</w:t>
            </w:r>
            <w:r w:rsidR="00386A00" w:rsidRPr="006F5709">
              <w:rPr>
                <w:rFonts w:eastAsia="Bookman Old Style"/>
                <w:szCs w:val="24"/>
              </w:rPr>
              <w:tab/>
            </w:r>
          </w:p>
        </w:tc>
      </w:tr>
    </w:tbl>
    <w:p w14:paraId="046358CA" w14:textId="77777777" w:rsidR="00386A00" w:rsidRPr="006F5709" w:rsidRDefault="00386A00" w:rsidP="00386A00">
      <w:pPr>
        <w:spacing w:line="225" w:lineRule="auto"/>
        <w:ind w:firstLine="0"/>
        <w:rPr>
          <w:rFonts w:eastAsia="Bookman Old Style"/>
          <w:szCs w:val="24"/>
        </w:rPr>
      </w:pPr>
    </w:p>
    <w:p w14:paraId="02C82D3D" w14:textId="726302A7" w:rsidR="00754F87" w:rsidRPr="006F5709" w:rsidRDefault="00200514" w:rsidP="003E7704">
      <w:pPr>
        <w:spacing w:line="360" w:lineRule="auto"/>
        <w:rPr>
          <w:rFonts w:eastAsia="Bookman Old Style"/>
          <w:szCs w:val="24"/>
        </w:rPr>
      </w:pPr>
      <w:r w:rsidRPr="006F5709">
        <w:rPr>
          <w:rFonts w:eastAsia="Bookman Old Style"/>
          <w:szCs w:val="24"/>
        </w:rPr>
        <w:t xml:space="preserve">Defendant, </w:t>
      </w:r>
      <w:r w:rsidRPr="006F5709">
        <w:rPr>
          <w:rFonts w:eastAsia="Bookman Old Style"/>
          <w:szCs w:val="24"/>
          <w:highlight w:val="yellow"/>
        </w:rPr>
        <w:t>________</w:t>
      </w:r>
      <w:r w:rsidRPr="006F5709">
        <w:rPr>
          <w:rFonts w:eastAsia="Bookman Old Style"/>
          <w:szCs w:val="24"/>
        </w:rPr>
        <w:t xml:space="preserve">, moves the court for a bail hearing and an order granting release on </w:t>
      </w:r>
      <w:r w:rsidRPr="006F5709">
        <w:rPr>
          <w:rFonts w:eastAsia="Bookman Old Style"/>
          <w:szCs w:val="24"/>
          <w:highlight w:val="yellow"/>
        </w:rPr>
        <w:t>his</w:t>
      </w:r>
      <w:r w:rsidR="00924E43" w:rsidRPr="006F5709">
        <w:rPr>
          <w:rFonts w:eastAsia="Bookman Old Style"/>
          <w:szCs w:val="24"/>
          <w:highlight w:val="yellow"/>
        </w:rPr>
        <w:t>/her</w:t>
      </w:r>
      <w:r w:rsidR="00985777" w:rsidRPr="00985777">
        <w:rPr>
          <w:rFonts w:eastAsia="Bookman Old Style"/>
          <w:szCs w:val="24"/>
          <w:highlight w:val="yellow"/>
        </w:rPr>
        <w:t>/their</w:t>
      </w:r>
      <w:r w:rsidRPr="006F5709">
        <w:rPr>
          <w:rFonts w:eastAsia="Bookman Old Style"/>
          <w:szCs w:val="24"/>
        </w:rPr>
        <w:t xml:space="preserve"> own recognizance or on appropriate financial or non-financial conditions.</w:t>
      </w:r>
      <w:r w:rsidR="00754F87" w:rsidRPr="006F5709">
        <w:rPr>
          <w:rFonts w:eastAsia="Bookman Old Style"/>
          <w:szCs w:val="24"/>
        </w:rPr>
        <w:t xml:space="preserve"> </w:t>
      </w:r>
      <w:r w:rsidR="00754F87" w:rsidRPr="006F5709">
        <w:rPr>
          <w:rFonts w:eastAsia="Bookman Old Style"/>
          <w:szCs w:val="24"/>
          <w:highlight w:val="yellow"/>
        </w:rPr>
        <w:t>_______</w:t>
      </w:r>
      <w:r w:rsidR="00754F87" w:rsidRPr="006F5709">
        <w:rPr>
          <w:rFonts w:eastAsia="Bookman Old Style"/>
          <w:szCs w:val="24"/>
        </w:rPr>
        <w:t xml:space="preserve"> has a solid release plan that will ensure </w:t>
      </w:r>
      <w:r w:rsidR="00754F87" w:rsidRPr="006F5709">
        <w:rPr>
          <w:rFonts w:eastAsia="Bookman Old Style"/>
          <w:szCs w:val="24"/>
          <w:highlight w:val="yellow"/>
        </w:rPr>
        <w:t>his/her</w:t>
      </w:r>
      <w:r w:rsidR="00985777" w:rsidRPr="00985777">
        <w:rPr>
          <w:rFonts w:eastAsia="Bookman Old Style"/>
          <w:szCs w:val="24"/>
          <w:highlight w:val="yellow"/>
        </w:rPr>
        <w:t>/their</w:t>
      </w:r>
      <w:r w:rsidR="00754F87" w:rsidRPr="006F5709">
        <w:rPr>
          <w:rFonts w:eastAsia="Bookman Old Style"/>
          <w:szCs w:val="24"/>
        </w:rPr>
        <w:t xml:space="preserve"> return to court.</w:t>
      </w:r>
    </w:p>
    <w:p w14:paraId="18CDF3D0" w14:textId="461D4AF7" w:rsidR="00380F5E" w:rsidRPr="006F5709" w:rsidRDefault="00C35CDB" w:rsidP="003E7704">
      <w:pPr>
        <w:spacing w:line="360" w:lineRule="auto"/>
        <w:rPr>
          <w:rFonts w:eastAsia="Bookman Old Style"/>
          <w:szCs w:val="24"/>
        </w:rPr>
      </w:pPr>
      <w:r>
        <w:rPr>
          <w:rFonts w:eastAsia="Bookman Old Style"/>
          <w:szCs w:val="24"/>
        </w:rPr>
        <w:t xml:space="preserve">The California Supreme Court </w:t>
      </w:r>
      <w:r w:rsidR="0008320E">
        <w:rPr>
          <w:rFonts w:eastAsia="Bookman Old Style"/>
          <w:szCs w:val="24"/>
        </w:rPr>
        <w:t xml:space="preserve">in </w:t>
      </w:r>
      <w:r w:rsidR="0008320E" w:rsidRPr="0008320E">
        <w:rPr>
          <w:rFonts w:eastAsia="Bookman Old Style"/>
          <w:i/>
          <w:iCs/>
          <w:szCs w:val="24"/>
        </w:rPr>
        <w:t>Humphrey</w:t>
      </w:r>
      <w:r w:rsidR="0008320E">
        <w:rPr>
          <w:rFonts w:eastAsia="Bookman Old Style"/>
          <w:szCs w:val="24"/>
        </w:rPr>
        <w:t xml:space="preserve"> </w:t>
      </w:r>
      <w:r>
        <w:rPr>
          <w:rFonts w:eastAsia="Bookman Old Style"/>
          <w:szCs w:val="24"/>
        </w:rPr>
        <w:t xml:space="preserve">held that </w:t>
      </w:r>
      <w:r w:rsidR="00287298">
        <w:rPr>
          <w:rFonts w:eastAsia="Bookman Old Style"/>
          <w:szCs w:val="24"/>
        </w:rPr>
        <w:t xml:space="preserve">making a </w:t>
      </w:r>
      <w:r w:rsidR="00985777">
        <w:rPr>
          <w:rFonts w:eastAsia="Bookman Old Style"/>
          <w:szCs w:val="24"/>
        </w:rPr>
        <w:t>pretrial detainee’s</w:t>
      </w:r>
      <w:r w:rsidR="00287298">
        <w:rPr>
          <w:rFonts w:eastAsia="Bookman Old Style"/>
          <w:szCs w:val="24"/>
        </w:rPr>
        <w:t xml:space="preserve"> freedom depend</w:t>
      </w:r>
      <w:r w:rsidR="00AB5DB4">
        <w:rPr>
          <w:rFonts w:eastAsia="Bookman Old Style"/>
          <w:szCs w:val="24"/>
        </w:rPr>
        <w:t>ent</w:t>
      </w:r>
      <w:r w:rsidR="00287298">
        <w:rPr>
          <w:rFonts w:eastAsia="Bookman Old Style"/>
          <w:szCs w:val="24"/>
        </w:rPr>
        <w:t xml:space="preserve"> on</w:t>
      </w:r>
      <w:r w:rsidRPr="00C35CDB">
        <w:rPr>
          <w:rFonts w:eastAsia="Bookman Old Style"/>
          <w:szCs w:val="24"/>
        </w:rPr>
        <w:t xml:space="preserve"> ability </w:t>
      </w:r>
      <w:r w:rsidR="00287298">
        <w:rPr>
          <w:rFonts w:eastAsia="Bookman Old Style"/>
          <w:szCs w:val="24"/>
        </w:rPr>
        <w:t xml:space="preserve">to pay bail </w:t>
      </w:r>
      <w:r>
        <w:rPr>
          <w:rFonts w:eastAsia="Bookman Old Style"/>
          <w:szCs w:val="24"/>
        </w:rPr>
        <w:t>is unconstitutional.</w:t>
      </w:r>
      <w:r>
        <w:rPr>
          <w:rStyle w:val="FootnoteReference"/>
          <w:rFonts w:eastAsia="Bookman Old Style"/>
          <w:szCs w:val="24"/>
        </w:rPr>
        <w:footnoteReference w:id="2"/>
      </w:r>
      <w:r>
        <w:rPr>
          <w:rFonts w:eastAsia="Bookman Old Style"/>
          <w:szCs w:val="24"/>
        </w:rPr>
        <w:t xml:space="preserve"> </w:t>
      </w:r>
      <w:r w:rsidR="00386A00" w:rsidRPr="006F5709">
        <w:rPr>
          <w:rFonts w:eastAsia="Bookman Old Style"/>
          <w:szCs w:val="24"/>
        </w:rPr>
        <w:t>Money bail, as set, is beyond</w:t>
      </w:r>
      <w:r w:rsidR="00380F5E" w:rsidRPr="006F5709">
        <w:rPr>
          <w:rFonts w:eastAsia="Bookman Old Style"/>
          <w:szCs w:val="24"/>
        </w:rPr>
        <w:t xml:space="preserve"> </w:t>
      </w:r>
      <w:r w:rsidR="00380F5E" w:rsidRPr="006F5709">
        <w:rPr>
          <w:rFonts w:eastAsia="Bookman Old Style"/>
          <w:szCs w:val="24"/>
          <w:highlight w:val="yellow"/>
        </w:rPr>
        <w:t>______</w:t>
      </w:r>
      <w:r w:rsidR="00386A00" w:rsidRPr="006F5709">
        <w:rPr>
          <w:rFonts w:eastAsia="Bookman Old Style"/>
          <w:szCs w:val="24"/>
        </w:rPr>
        <w:t>’s ability to pay, operating as a no-bail detention</w:t>
      </w:r>
      <w:r w:rsidR="00FF0314">
        <w:rPr>
          <w:rFonts w:eastAsia="Bookman Old Style"/>
          <w:szCs w:val="24"/>
        </w:rPr>
        <w:t>,</w:t>
      </w:r>
      <w:r w:rsidR="00386A00" w:rsidRPr="006F5709">
        <w:rPr>
          <w:rFonts w:eastAsia="Bookman Old Style"/>
          <w:szCs w:val="24"/>
        </w:rPr>
        <w:t xml:space="preserve"> despite </w:t>
      </w:r>
      <w:r w:rsidR="00386A00" w:rsidRPr="006F5709">
        <w:rPr>
          <w:rFonts w:eastAsia="Bookman Old Style"/>
          <w:szCs w:val="24"/>
        </w:rPr>
        <w:lastRenderedPageBreak/>
        <w:t xml:space="preserve">no court having made the findings required under </w:t>
      </w:r>
      <w:r w:rsidR="00380F5E" w:rsidRPr="006F5709">
        <w:rPr>
          <w:rFonts w:eastAsia="Bookman Old Style"/>
          <w:szCs w:val="24"/>
        </w:rPr>
        <w:t>California Constitution, article I, section 12</w:t>
      </w:r>
      <w:r w:rsidR="00FF0314">
        <w:rPr>
          <w:rFonts w:eastAsia="Bookman Old Style"/>
          <w:szCs w:val="24"/>
        </w:rPr>
        <w:t xml:space="preserve"> for detention</w:t>
      </w:r>
      <w:r w:rsidR="00386A00" w:rsidRPr="006F5709">
        <w:rPr>
          <w:rFonts w:eastAsia="Bookman Old Style"/>
          <w:szCs w:val="24"/>
        </w:rPr>
        <w:t xml:space="preserve">. Because </w:t>
      </w:r>
      <w:r w:rsidR="00754F87" w:rsidRPr="006F5709">
        <w:rPr>
          <w:rFonts w:eastAsia="Bookman Old Style"/>
          <w:szCs w:val="24"/>
          <w:highlight w:val="yellow"/>
        </w:rPr>
        <w:t>______</w:t>
      </w:r>
      <w:r w:rsidR="00754F87" w:rsidRPr="006F5709">
        <w:rPr>
          <w:rFonts w:eastAsia="Bookman Old Style"/>
          <w:szCs w:val="24"/>
        </w:rPr>
        <w:t xml:space="preserve"> </w:t>
      </w:r>
      <w:r w:rsidR="00386A00" w:rsidRPr="006F5709">
        <w:rPr>
          <w:rFonts w:eastAsia="Bookman Old Style"/>
          <w:szCs w:val="24"/>
        </w:rPr>
        <w:t xml:space="preserve">should not be detained before trial, this court must order </w:t>
      </w:r>
      <w:r w:rsidR="00EC043D" w:rsidRPr="00AB5DB4">
        <w:rPr>
          <w:rFonts w:eastAsia="Bookman Old Style"/>
          <w:szCs w:val="24"/>
          <w:highlight w:val="yellow"/>
        </w:rPr>
        <w:t>h</w:t>
      </w:r>
      <w:r w:rsidR="00AB5DB4" w:rsidRPr="00AB5DB4">
        <w:rPr>
          <w:rFonts w:eastAsia="Bookman Old Style"/>
          <w:szCs w:val="24"/>
          <w:highlight w:val="yellow"/>
        </w:rPr>
        <w:t>is/her/their</w:t>
      </w:r>
      <w:r w:rsidR="00EC043D" w:rsidRPr="006F5709">
        <w:rPr>
          <w:rFonts w:eastAsia="Bookman Old Style"/>
          <w:szCs w:val="24"/>
        </w:rPr>
        <w:t xml:space="preserve"> </w:t>
      </w:r>
      <w:r w:rsidR="00386A00" w:rsidRPr="006F5709">
        <w:rPr>
          <w:rFonts w:eastAsia="Bookman Old Style"/>
          <w:szCs w:val="24"/>
        </w:rPr>
        <w:t>release on conditions narrowly tailored to the government’s interests in court appearance and public safety</w:t>
      </w:r>
      <w:r w:rsidR="00DA630A" w:rsidRPr="006F5709">
        <w:rPr>
          <w:rFonts w:eastAsia="Bookman Old Style"/>
          <w:szCs w:val="24"/>
        </w:rPr>
        <w:t>.</w:t>
      </w:r>
    </w:p>
    <w:p w14:paraId="39121514" w14:textId="3C2F5956" w:rsidR="00AA73F1" w:rsidRPr="006F5709" w:rsidRDefault="00AA73F1" w:rsidP="003E7704">
      <w:pPr>
        <w:spacing w:line="360" w:lineRule="auto"/>
        <w:rPr>
          <w:rFonts w:eastAsia="Bookman Old Style"/>
          <w:szCs w:val="24"/>
        </w:rPr>
      </w:pPr>
      <w:r w:rsidRPr="006F5709">
        <w:rPr>
          <w:rFonts w:eastAsia="Bookman Old Style"/>
          <w:szCs w:val="24"/>
        </w:rPr>
        <w:t>Release is also appropriate and urgent here</w:t>
      </w:r>
      <w:r w:rsidR="00B25A5D">
        <w:rPr>
          <w:rFonts w:eastAsia="Bookman Old Style"/>
          <w:szCs w:val="24"/>
        </w:rPr>
        <w:t xml:space="preserve">. </w:t>
      </w:r>
      <w:r w:rsidR="00791CA8" w:rsidRPr="006F5709">
        <w:rPr>
          <w:rFonts w:eastAsia="Bookman Old Style"/>
          <w:szCs w:val="24"/>
        </w:rPr>
        <w:t>[</w:t>
      </w:r>
      <w:r w:rsidR="00791CA8">
        <w:rPr>
          <w:rFonts w:eastAsia="Bookman Old Style"/>
          <w:szCs w:val="24"/>
          <w:highlight w:val="yellow"/>
        </w:rPr>
        <w:t>IF APPLICABLE</w:t>
      </w:r>
      <w:r w:rsidR="00791CA8" w:rsidRPr="006F5709">
        <w:rPr>
          <w:rFonts w:eastAsia="Bookman Old Style"/>
          <w:szCs w:val="24"/>
        </w:rPr>
        <w:t>:</w:t>
      </w:r>
      <w:r w:rsidR="00791CA8">
        <w:rPr>
          <w:rFonts w:eastAsia="Bookman Old Style"/>
          <w:szCs w:val="24"/>
        </w:rPr>
        <w:t xml:space="preserve"> </w:t>
      </w:r>
      <w:r w:rsidR="00791CA8" w:rsidRPr="006F5709">
        <w:rPr>
          <w:rFonts w:eastAsia="Bookman Old Style"/>
          <w:szCs w:val="24"/>
          <w:highlight w:val="yellow"/>
        </w:rPr>
        <w:t>_______</w:t>
      </w:r>
      <w:r w:rsidR="00791CA8" w:rsidRPr="006F5709">
        <w:rPr>
          <w:rFonts w:eastAsia="Bookman Old Style"/>
          <w:szCs w:val="24"/>
        </w:rPr>
        <w:t xml:space="preserve"> has a medical condition</w:t>
      </w:r>
      <w:r w:rsidR="00791CA8">
        <w:rPr>
          <w:rFonts w:eastAsia="Bookman Old Style"/>
          <w:szCs w:val="24"/>
        </w:rPr>
        <w:t xml:space="preserve">, </w:t>
      </w:r>
      <w:r w:rsidR="00791CA8" w:rsidRPr="00791CA8">
        <w:rPr>
          <w:rFonts w:eastAsia="Bookman Old Style"/>
          <w:szCs w:val="24"/>
          <w:highlight w:val="yellow"/>
        </w:rPr>
        <w:t>______</w:t>
      </w:r>
      <w:r w:rsidR="00791CA8">
        <w:rPr>
          <w:rFonts w:eastAsia="Bookman Old Style"/>
          <w:szCs w:val="24"/>
        </w:rPr>
        <w:t>,</w:t>
      </w:r>
      <w:r w:rsidR="00791CA8" w:rsidRPr="006F5709">
        <w:rPr>
          <w:rFonts w:eastAsia="Bookman Old Style"/>
          <w:szCs w:val="24"/>
        </w:rPr>
        <w:t xml:space="preserve"> making </w:t>
      </w:r>
      <w:r w:rsidR="00791CA8" w:rsidRPr="006F5709">
        <w:rPr>
          <w:rFonts w:eastAsia="Bookman Old Style"/>
          <w:szCs w:val="24"/>
          <w:highlight w:val="yellow"/>
        </w:rPr>
        <w:t>him/her</w:t>
      </w:r>
      <w:r w:rsidR="00791CA8">
        <w:rPr>
          <w:rFonts w:eastAsia="Bookman Old Style"/>
          <w:szCs w:val="24"/>
          <w:highlight w:val="yellow"/>
        </w:rPr>
        <w:t>/</w:t>
      </w:r>
      <w:r w:rsidR="00791CA8" w:rsidRPr="004F1B4D">
        <w:rPr>
          <w:rFonts w:eastAsia="Bookman Old Style"/>
          <w:szCs w:val="24"/>
          <w:highlight w:val="yellow"/>
        </w:rPr>
        <w:t>th</w:t>
      </w:r>
      <w:r w:rsidR="00791CA8">
        <w:rPr>
          <w:rFonts w:eastAsia="Bookman Old Style"/>
          <w:szCs w:val="24"/>
          <w:highlight w:val="yellow"/>
        </w:rPr>
        <w:t>em</w:t>
      </w:r>
      <w:r w:rsidR="00791CA8" w:rsidRPr="006F5709">
        <w:rPr>
          <w:rFonts w:eastAsia="Bookman Old Style"/>
          <w:szCs w:val="24"/>
        </w:rPr>
        <w:t xml:space="preserve"> vulnerable to serious health complications should </w:t>
      </w:r>
      <w:r w:rsidR="00791CA8" w:rsidRPr="006F5709">
        <w:rPr>
          <w:rFonts w:eastAsia="Bookman Old Style"/>
          <w:szCs w:val="24"/>
          <w:highlight w:val="yellow"/>
        </w:rPr>
        <w:t>he/she</w:t>
      </w:r>
      <w:r w:rsidR="00791CA8" w:rsidRPr="004F1B4D">
        <w:rPr>
          <w:rFonts w:eastAsia="Bookman Old Style"/>
          <w:szCs w:val="24"/>
          <w:highlight w:val="yellow"/>
        </w:rPr>
        <w:t>/they</w:t>
      </w:r>
      <w:r w:rsidR="00791CA8" w:rsidRPr="006F5709">
        <w:rPr>
          <w:rFonts w:eastAsia="Bookman Old Style"/>
          <w:szCs w:val="24"/>
        </w:rPr>
        <w:t xml:space="preserve"> contract COVID-19 in custody</w:t>
      </w:r>
      <w:r w:rsidR="00791CA8">
        <w:rPr>
          <w:rFonts w:eastAsia="Bookman Old Style"/>
          <w:szCs w:val="24"/>
        </w:rPr>
        <w:t>.</w:t>
      </w:r>
      <w:r w:rsidR="00791CA8" w:rsidRPr="006F5709">
        <w:rPr>
          <w:rFonts w:eastAsia="Bookman Old Style"/>
          <w:szCs w:val="24"/>
        </w:rPr>
        <w:t xml:space="preserve">] </w:t>
      </w:r>
      <w:r w:rsidR="00B25A5D">
        <w:rPr>
          <w:rFonts w:eastAsia="Bookman Old Style"/>
          <w:szCs w:val="24"/>
        </w:rPr>
        <w:t>I</w:t>
      </w:r>
      <w:r w:rsidR="00924E43" w:rsidRPr="006F5709">
        <w:rPr>
          <w:rFonts w:eastAsia="Bookman Old Style"/>
          <w:szCs w:val="24"/>
        </w:rPr>
        <w:t>n light of a sharp increase in the jail population over the past several months, t</w:t>
      </w:r>
      <w:r w:rsidRPr="006F5709">
        <w:rPr>
          <w:rFonts w:eastAsia="Bookman Old Style"/>
          <w:szCs w:val="24"/>
        </w:rPr>
        <w:t xml:space="preserve">he San Francisco County Jail medical director has urged </w:t>
      </w:r>
      <w:r w:rsidR="00924E43" w:rsidRPr="006F5709">
        <w:rPr>
          <w:rFonts w:eastAsia="Bookman Old Style"/>
          <w:szCs w:val="24"/>
        </w:rPr>
        <w:t xml:space="preserve">a </w:t>
      </w:r>
      <w:r w:rsidRPr="006F5709">
        <w:rPr>
          <w:rFonts w:eastAsia="Bookman Old Style"/>
          <w:szCs w:val="24"/>
        </w:rPr>
        <w:t>reduction of more than 25% of the inmate population to prevent a COVID-19 outbreak.</w:t>
      </w:r>
      <w:r w:rsidR="001821A1" w:rsidRPr="006F5709">
        <w:rPr>
          <w:rFonts w:eastAsia="Bookman Old Style"/>
          <w:szCs w:val="24"/>
        </w:rPr>
        <w:t xml:space="preserve"> Failure to release </w:t>
      </w:r>
      <w:r w:rsidR="001821A1" w:rsidRPr="006F5709">
        <w:rPr>
          <w:rFonts w:eastAsia="Bookman Old Style"/>
          <w:szCs w:val="24"/>
          <w:highlight w:val="yellow"/>
        </w:rPr>
        <w:t>______</w:t>
      </w:r>
      <w:r w:rsidR="001821A1" w:rsidRPr="006F5709">
        <w:rPr>
          <w:rFonts w:eastAsia="Bookman Old Style"/>
          <w:szCs w:val="24"/>
        </w:rPr>
        <w:t xml:space="preserve"> to reduce the jail population constitutes a constitutional violation through the state’s deliberate indifference to the health of </w:t>
      </w:r>
      <w:r w:rsidR="001821A1" w:rsidRPr="006F5709">
        <w:rPr>
          <w:rFonts w:eastAsia="Bookman Old Style"/>
          <w:szCs w:val="24"/>
          <w:highlight w:val="yellow"/>
        </w:rPr>
        <w:t>______</w:t>
      </w:r>
      <w:r w:rsidR="001821A1" w:rsidRPr="006F5709">
        <w:rPr>
          <w:rFonts w:eastAsia="Bookman Old Style"/>
          <w:szCs w:val="24"/>
        </w:rPr>
        <w:t xml:space="preserve"> and other inmates.</w:t>
      </w:r>
    </w:p>
    <w:p w14:paraId="4F6C82C1" w14:textId="7F831394" w:rsidR="003D765C" w:rsidRPr="006F5709" w:rsidRDefault="003D765C" w:rsidP="003E7704">
      <w:pPr>
        <w:spacing w:line="360" w:lineRule="auto"/>
        <w:rPr>
          <w:rFonts w:eastAsia="Bookman Old Style"/>
          <w:szCs w:val="24"/>
        </w:rPr>
      </w:pPr>
      <w:r w:rsidRPr="006F5709">
        <w:rPr>
          <w:rFonts w:eastAsia="Bookman Old Style"/>
          <w:szCs w:val="24"/>
        </w:rPr>
        <w:t>[</w:t>
      </w:r>
      <w:r w:rsidRPr="006F5709">
        <w:rPr>
          <w:rFonts w:eastAsia="Bookman Old Style"/>
          <w:szCs w:val="24"/>
          <w:highlight w:val="yellow"/>
        </w:rPr>
        <w:t>IF APPLICABLE</w:t>
      </w:r>
      <w:r w:rsidRPr="006F5709">
        <w:rPr>
          <w:rFonts w:eastAsia="Bookman Old Style"/>
          <w:szCs w:val="24"/>
        </w:rPr>
        <w:t>:] The new California Racial Justice Act (AB 2542</w:t>
      </w:r>
      <w:r w:rsidR="00C35CDB">
        <w:rPr>
          <w:rFonts w:eastAsia="Bookman Old Style"/>
          <w:szCs w:val="24"/>
        </w:rPr>
        <w:t>)</w:t>
      </w:r>
      <w:r w:rsidRPr="006F5709">
        <w:rPr>
          <w:rFonts w:eastAsia="Bookman Old Style"/>
          <w:szCs w:val="24"/>
        </w:rPr>
        <w:t xml:space="preserve"> requires that all forms of explicit and implicit racial bias be eliminated from the criminal justice system.</w:t>
      </w:r>
      <w:r w:rsidRPr="006F5709">
        <w:rPr>
          <w:rStyle w:val="FootnoteReference"/>
          <w:rFonts w:eastAsia="Bookman Old Style"/>
          <w:szCs w:val="24"/>
        </w:rPr>
        <w:footnoteReference w:id="3"/>
      </w:r>
      <w:r w:rsidRPr="006F5709">
        <w:rPr>
          <w:rFonts w:eastAsia="Bookman Old Style"/>
          <w:szCs w:val="24"/>
        </w:rPr>
        <w:t xml:space="preserve"> </w:t>
      </w:r>
      <w:r w:rsidR="007A6A5B" w:rsidRPr="00C35CDB">
        <w:rPr>
          <w:rFonts w:eastAsia="Bookman Old Style"/>
          <w:szCs w:val="24"/>
          <w:highlight w:val="yellow"/>
        </w:rPr>
        <w:t>______</w:t>
      </w:r>
      <w:r w:rsidR="007A6A5B" w:rsidRPr="006F5709">
        <w:rPr>
          <w:rFonts w:eastAsia="Bookman Old Style"/>
          <w:szCs w:val="24"/>
        </w:rPr>
        <w:t xml:space="preserve"> is </w:t>
      </w:r>
      <w:r w:rsidR="007A6A5B" w:rsidRPr="006F5709">
        <w:rPr>
          <w:rFonts w:eastAsia="Bookman Old Style"/>
          <w:szCs w:val="24"/>
          <w:highlight w:val="yellow"/>
        </w:rPr>
        <w:t>Black/Latino</w:t>
      </w:r>
      <w:r w:rsidR="007A6A5B" w:rsidRPr="006F5709">
        <w:rPr>
          <w:rFonts w:eastAsia="Bookman Old Style"/>
          <w:szCs w:val="24"/>
        </w:rPr>
        <w:t xml:space="preserve">. </w:t>
      </w:r>
      <w:r w:rsidR="004F1B4D">
        <w:rPr>
          <w:rFonts w:eastAsia="Bookman Old Style"/>
          <w:szCs w:val="24"/>
        </w:rPr>
        <w:t>T</w:t>
      </w:r>
      <w:r w:rsidRPr="006F5709">
        <w:rPr>
          <w:rFonts w:eastAsia="Bookman Old Style"/>
          <w:szCs w:val="24"/>
        </w:rPr>
        <w:t>he money bail system disproportionately keeps Black and Brown people in custody</w:t>
      </w:r>
      <w:r w:rsidR="004F1B4D">
        <w:rPr>
          <w:rFonts w:eastAsia="Bookman Old Style"/>
          <w:szCs w:val="24"/>
        </w:rPr>
        <w:t>. Thus,</w:t>
      </w:r>
      <w:r w:rsidRPr="006F5709">
        <w:rPr>
          <w:rFonts w:eastAsia="Bookman Old Style"/>
          <w:szCs w:val="24"/>
        </w:rPr>
        <w:t xml:space="preserve"> the court should not set bail, and instead heed the mandate of the R</w:t>
      </w:r>
      <w:r w:rsidR="004F1B4D">
        <w:rPr>
          <w:rFonts w:eastAsia="Bookman Old Style"/>
          <w:szCs w:val="24"/>
        </w:rPr>
        <w:t>acial Justice Act</w:t>
      </w:r>
      <w:r w:rsidRPr="006F5709">
        <w:rPr>
          <w:rFonts w:eastAsia="Bookman Old Style"/>
          <w:szCs w:val="24"/>
        </w:rPr>
        <w:t xml:space="preserve"> to release </w:t>
      </w:r>
      <w:r w:rsidRPr="006F5709">
        <w:rPr>
          <w:rFonts w:eastAsia="Bookman Old Style"/>
          <w:szCs w:val="24"/>
          <w:highlight w:val="yellow"/>
        </w:rPr>
        <w:t>_______</w:t>
      </w:r>
      <w:r w:rsidRPr="006F5709">
        <w:rPr>
          <w:rFonts w:eastAsia="Bookman Old Style"/>
          <w:szCs w:val="24"/>
        </w:rPr>
        <w:t xml:space="preserve"> on least restrictive conditions to ensure public safety and </w:t>
      </w:r>
      <w:r w:rsidRPr="004F1B4D">
        <w:rPr>
          <w:rFonts w:eastAsia="Bookman Old Style"/>
          <w:szCs w:val="24"/>
          <w:highlight w:val="yellow"/>
        </w:rPr>
        <w:t>his/her</w:t>
      </w:r>
      <w:r w:rsidR="004F1B4D" w:rsidRPr="004F1B4D">
        <w:rPr>
          <w:rFonts w:eastAsia="Bookman Old Style"/>
          <w:szCs w:val="24"/>
          <w:highlight w:val="yellow"/>
        </w:rPr>
        <w:t>/their</w:t>
      </w:r>
      <w:r w:rsidRPr="006F5709">
        <w:rPr>
          <w:rFonts w:eastAsia="Bookman Old Style"/>
          <w:szCs w:val="24"/>
        </w:rPr>
        <w:t xml:space="preserve"> return to court.</w:t>
      </w:r>
    </w:p>
    <w:p w14:paraId="4AE88CBC" w14:textId="73A3B51E" w:rsidR="00B7634D" w:rsidRPr="006F5709" w:rsidRDefault="004F1B4D" w:rsidP="003E7704">
      <w:pPr>
        <w:spacing w:line="360" w:lineRule="auto"/>
        <w:rPr>
          <w:szCs w:val="24"/>
        </w:rPr>
      </w:pPr>
      <w:r w:rsidRPr="004F1B4D">
        <w:rPr>
          <w:szCs w:val="24"/>
          <w:highlight w:val="yellow"/>
        </w:rPr>
        <w:t>_______</w:t>
      </w:r>
      <w:r w:rsidR="00B7634D" w:rsidRPr="006F5709">
        <w:rPr>
          <w:szCs w:val="24"/>
        </w:rPr>
        <w:t xml:space="preserve"> has made </w:t>
      </w:r>
      <w:r w:rsidR="00C37AF4" w:rsidRPr="006F5709">
        <w:rPr>
          <w:szCs w:val="24"/>
        </w:rPr>
        <w:t>[</w:t>
      </w:r>
      <w:r w:rsidR="00C37AF4" w:rsidRPr="006F5709">
        <w:rPr>
          <w:szCs w:val="24"/>
          <w:highlight w:val="yellow"/>
        </w:rPr>
        <w:t>choose one</w:t>
      </w:r>
      <w:r w:rsidR="00C37AF4" w:rsidRPr="006F5709">
        <w:rPr>
          <w:szCs w:val="24"/>
        </w:rPr>
        <w:t xml:space="preserve">: </w:t>
      </w:r>
      <w:r w:rsidR="00B7634D" w:rsidRPr="006F5709">
        <w:rPr>
          <w:szCs w:val="24"/>
        </w:rPr>
        <w:t>no prior applications for own recognizance release or reduced bail</w:t>
      </w:r>
      <w:r w:rsidR="00C37AF4" w:rsidRPr="006F5709">
        <w:rPr>
          <w:szCs w:val="24"/>
        </w:rPr>
        <w:t xml:space="preserve"> </w:t>
      </w:r>
      <w:r w:rsidR="00DA630A" w:rsidRPr="006F5709">
        <w:rPr>
          <w:szCs w:val="24"/>
        </w:rPr>
        <w:t xml:space="preserve">/ </w:t>
      </w:r>
      <w:r w:rsidR="007D19C1" w:rsidRPr="006F5709">
        <w:rPr>
          <w:szCs w:val="24"/>
        </w:rPr>
        <w:t xml:space="preserve">a prior application for release on own recognizance or bail, but renews </w:t>
      </w:r>
      <w:r>
        <w:rPr>
          <w:szCs w:val="24"/>
        </w:rPr>
        <w:t>t</w:t>
      </w:r>
      <w:r w:rsidR="007D19C1" w:rsidRPr="006F5709">
        <w:rPr>
          <w:szCs w:val="24"/>
        </w:rPr>
        <w:t>his motion based on changed circumstances</w:t>
      </w:r>
      <w:r w:rsidR="00B7634D" w:rsidRPr="006F5709">
        <w:rPr>
          <w:szCs w:val="24"/>
        </w:rPr>
        <w:t>.</w:t>
      </w:r>
      <w:r w:rsidR="00C37AF4" w:rsidRPr="006F5709">
        <w:rPr>
          <w:szCs w:val="24"/>
        </w:rPr>
        <w:t>]</w:t>
      </w:r>
    </w:p>
    <w:p w14:paraId="7176AA61" w14:textId="77777777" w:rsidR="005254BC" w:rsidRPr="006F5709" w:rsidRDefault="005254BC" w:rsidP="003E7704">
      <w:pPr>
        <w:spacing w:line="360" w:lineRule="auto"/>
        <w:ind w:firstLine="0"/>
        <w:jc w:val="center"/>
        <w:rPr>
          <w:b/>
          <w:bCs/>
          <w:szCs w:val="24"/>
        </w:rPr>
      </w:pPr>
      <w:r w:rsidRPr="006F5709">
        <w:rPr>
          <w:b/>
          <w:bCs/>
          <w:szCs w:val="24"/>
        </w:rPr>
        <w:lastRenderedPageBreak/>
        <w:t>Statement of the Case</w:t>
      </w:r>
    </w:p>
    <w:p w14:paraId="70734F2F" w14:textId="77777777" w:rsidR="005254BC" w:rsidRPr="006F5709" w:rsidRDefault="005254BC" w:rsidP="00C35CDB">
      <w:pPr>
        <w:spacing w:line="360" w:lineRule="auto"/>
        <w:rPr>
          <w:szCs w:val="24"/>
        </w:rPr>
      </w:pPr>
      <w:r w:rsidRPr="006F5709">
        <w:rPr>
          <w:szCs w:val="24"/>
          <w:highlight w:val="yellow"/>
        </w:rPr>
        <w:t>________</w:t>
      </w:r>
      <w:r w:rsidRPr="006F5709">
        <w:rPr>
          <w:szCs w:val="24"/>
        </w:rPr>
        <w:t xml:space="preserve"> is charged with </w:t>
      </w:r>
      <w:r w:rsidRPr="006F5709">
        <w:rPr>
          <w:szCs w:val="24"/>
          <w:highlight w:val="yellow"/>
        </w:rPr>
        <w:t>________</w:t>
      </w:r>
      <w:r w:rsidRPr="006F5709">
        <w:rPr>
          <w:szCs w:val="24"/>
        </w:rPr>
        <w:t xml:space="preserve">. The case is set for </w:t>
      </w:r>
      <w:r w:rsidRPr="006F5709">
        <w:rPr>
          <w:szCs w:val="24"/>
          <w:highlight w:val="yellow"/>
        </w:rPr>
        <w:t>_________</w:t>
      </w:r>
      <w:r w:rsidRPr="006F5709">
        <w:rPr>
          <w:szCs w:val="24"/>
        </w:rPr>
        <w:t>.</w:t>
      </w:r>
    </w:p>
    <w:p w14:paraId="12B1B956" w14:textId="77777777" w:rsidR="005254BC" w:rsidRPr="006F5709" w:rsidRDefault="005254BC" w:rsidP="00C35CDB">
      <w:pPr>
        <w:spacing w:line="360" w:lineRule="auto"/>
        <w:jc w:val="center"/>
        <w:rPr>
          <w:b/>
          <w:bCs/>
          <w:szCs w:val="24"/>
        </w:rPr>
      </w:pPr>
      <w:r w:rsidRPr="006F5709">
        <w:rPr>
          <w:b/>
          <w:bCs/>
          <w:szCs w:val="24"/>
        </w:rPr>
        <w:t>Statement of Facts</w:t>
      </w:r>
    </w:p>
    <w:p w14:paraId="471FC413" w14:textId="77777777" w:rsidR="005254BC" w:rsidRPr="006F5709" w:rsidRDefault="005254BC" w:rsidP="003E7704">
      <w:pPr>
        <w:numPr>
          <w:ilvl w:val="0"/>
          <w:numId w:val="23"/>
        </w:numPr>
        <w:spacing w:line="360" w:lineRule="auto"/>
        <w:rPr>
          <w:b/>
          <w:szCs w:val="24"/>
        </w:rPr>
      </w:pPr>
      <w:r w:rsidRPr="006F5709">
        <w:rPr>
          <w:b/>
          <w:szCs w:val="24"/>
          <w:highlight w:val="yellow"/>
        </w:rPr>
        <w:t>_______</w:t>
      </w:r>
      <w:r w:rsidRPr="006F5709">
        <w:rPr>
          <w:b/>
          <w:szCs w:val="24"/>
        </w:rPr>
        <w:t>’s circumstances and release plan.</w:t>
      </w:r>
    </w:p>
    <w:p w14:paraId="28B1F0B5" w14:textId="68E26729" w:rsidR="005254BC" w:rsidRPr="006F5709" w:rsidRDefault="005254BC" w:rsidP="00C35CDB">
      <w:pPr>
        <w:spacing w:line="360" w:lineRule="auto"/>
        <w:ind w:firstLine="0"/>
        <w:rPr>
          <w:bCs/>
          <w:szCs w:val="24"/>
        </w:rPr>
      </w:pPr>
      <w:r w:rsidRPr="006F5709">
        <w:rPr>
          <w:bCs/>
          <w:szCs w:val="24"/>
        </w:rPr>
        <w:t xml:space="preserve">     [</w:t>
      </w:r>
      <w:r w:rsidRPr="006F5709">
        <w:rPr>
          <w:bCs/>
          <w:szCs w:val="24"/>
          <w:highlight w:val="yellow"/>
        </w:rPr>
        <w:t>Discuss facts about your client: age, family, educational and employment background, medical and mental health issues, COVID-19 vulnerabilities, criminal history, community ties. Lay out detailed release plan. Attach relevant records: social history, health records, letters of support, etc</w:t>
      </w:r>
      <w:r w:rsidRPr="006F5709">
        <w:rPr>
          <w:bCs/>
          <w:szCs w:val="24"/>
        </w:rPr>
        <w:t>.]</w:t>
      </w:r>
    </w:p>
    <w:p w14:paraId="49340183" w14:textId="2AEAE73D" w:rsidR="005254BC" w:rsidRPr="006F5709" w:rsidRDefault="005254BC" w:rsidP="003E7704">
      <w:pPr>
        <w:pStyle w:val="ListParagraph"/>
        <w:numPr>
          <w:ilvl w:val="0"/>
          <w:numId w:val="24"/>
        </w:numPr>
        <w:spacing w:after="240" w:line="360" w:lineRule="auto"/>
        <w:rPr>
          <w:b/>
          <w:bCs/>
          <w:szCs w:val="24"/>
        </w:rPr>
      </w:pPr>
      <w:r w:rsidRPr="006F5709">
        <w:rPr>
          <w:b/>
          <w:bCs/>
          <w:szCs w:val="24"/>
        </w:rPr>
        <w:t>Alleged crimes.</w:t>
      </w:r>
    </w:p>
    <w:p w14:paraId="6B2AD847" w14:textId="40AD32D4" w:rsidR="005254BC" w:rsidRPr="006F5709" w:rsidRDefault="00D3638A" w:rsidP="003E7704">
      <w:pPr>
        <w:pStyle w:val="ListParagraph"/>
        <w:spacing w:after="240" w:line="360" w:lineRule="auto"/>
        <w:ind w:left="360" w:firstLine="0"/>
        <w:rPr>
          <w:szCs w:val="24"/>
        </w:rPr>
      </w:pPr>
      <w:r w:rsidRPr="006F5709">
        <w:rPr>
          <w:szCs w:val="24"/>
        </w:rPr>
        <w:t>[</w:t>
      </w:r>
      <w:r w:rsidRPr="006F5709">
        <w:rPr>
          <w:szCs w:val="24"/>
          <w:highlight w:val="yellow"/>
        </w:rPr>
        <w:t xml:space="preserve">Lay out your </w:t>
      </w:r>
      <w:r w:rsidRPr="00131710">
        <w:rPr>
          <w:szCs w:val="24"/>
          <w:highlight w:val="yellow"/>
        </w:rPr>
        <w:t>facts</w:t>
      </w:r>
      <w:r w:rsidR="00FA2D92" w:rsidRPr="00131710">
        <w:rPr>
          <w:szCs w:val="24"/>
          <w:highlight w:val="yellow"/>
        </w:rPr>
        <w:t xml:space="preserve">, favorable </w:t>
      </w:r>
      <w:r w:rsidR="00FA2D92" w:rsidRPr="006F5709">
        <w:rPr>
          <w:szCs w:val="24"/>
          <w:highlight w:val="yellow"/>
        </w:rPr>
        <w:t>and unfavorable</w:t>
      </w:r>
      <w:r w:rsidR="0029507E" w:rsidRPr="006F5709">
        <w:rPr>
          <w:szCs w:val="24"/>
        </w:rPr>
        <w:t>.</w:t>
      </w:r>
      <w:r w:rsidR="00FB3B43" w:rsidRPr="006F5709">
        <w:rPr>
          <w:szCs w:val="24"/>
        </w:rPr>
        <w:t>]</w:t>
      </w:r>
      <w:r w:rsidR="00176521" w:rsidRPr="006F5709">
        <w:rPr>
          <w:szCs w:val="24"/>
        </w:rPr>
        <w:t xml:space="preserve">                                                                                                                                                                                                                                                                                                                                                                                                                                                                                                                                                                                                                                                                                                                                                                                                                                                                                                                                                                                                                                                                                                                                                                                                                                                                                                                                                                                                                                                                                                                                                                                                                                                                                                                                                                                                                                                                                                                                                                                                                                                                                                                                                                                                                                                                                                                                                                                                                                                                                                                                                                                                                                                                                                                                                                                                                                                                                                                                                          </w:t>
      </w:r>
    </w:p>
    <w:p w14:paraId="487CEBF2" w14:textId="3F454C83" w:rsidR="0029507E" w:rsidRPr="006F5709" w:rsidRDefault="0029507E" w:rsidP="003E7704">
      <w:pPr>
        <w:pStyle w:val="ListParagraph"/>
        <w:numPr>
          <w:ilvl w:val="0"/>
          <w:numId w:val="24"/>
        </w:numPr>
        <w:spacing w:line="360" w:lineRule="auto"/>
        <w:rPr>
          <w:rFonts w:eastAsia="Bookman Old Style"/>
          <w:b/>
          <w:bCs/>
          <w:szCs w:val="24"/>
        </w:rPr>
      </w:pPr>
      <w:r w:rsidRPr="006F5709">
        <w:rPr>
          <w:rFonts w:eastAsia="Bookman Old Style"/>
          <w:b/>
          <w:bCs/>
          <w:szCs w:val="24"/>
        </w:rPr>
        <w:t>Unprecedented jail conditions during COVID-19 outbreak.</w:t>
      </w:r>
    </w:p>
    <w:p w14:paraId="65B805E4" w14:textId="1337E133" w:rsidR="005254BC" w:rsidRPr="006F5709" w:rsidRDefault="005254BC" w:rsidP="003E7704">
      <w:pPr>
        <w:spacing w:line="360" w:lineRule="auto"/>
        <w:rPr>
          <w:rFonts w:eastAsia="Bookman Old Style"/>
          <w:szCs w:val="24"/>
        </w:rPr>
      </w:pPr>
      <w:r w:rsidRPr="006F5709">
        <w:rPr>
          <w:rFonts w:eastAsia="Bookman Old Style"/>
          <w:szCs w:val="24"/>
        </w:rPr>
        <w:t xml:space="preserve">As the court </w:t>
      </w:r>
      <w:r w:rsidR="00FB3595" w:rsidRPr="006F5709">
        <w:rPr>
          <w:rFonts w:eastAsia="Bookman Old Style"/>
          <w:szCs w:val="24"/>
        </w:rPr>
        <w:t>knows</w:t>
      </w:r>
      <w:r w:rsidRPr="006F5709">
        <w:rPr>
          <w:rFonts w:eastAsia="Bookman Old Style"/>
          <w:szCs w:val="24"/>
        </w:rPr>
        <w:t xml:space="preserve">, </w:t>
      </w:r>
      <w:r w:rsidR="00752169">
        <w:rPr>
          <w:rFonts w:eastAsia="Bookman Old Style"/>
          <w:szCs w:val="24"/>
        </w:rPr>
        <w:t>we are in the midst of</w:t>
      </w:r>
      <w:r w:rsidRPr="006F5709">
        <w:rPr>
          <w:rFonts w:eastAsia="Bookman Old Style"/>
          <w:szCs w:val="24"/>
        </w:rPr>
        <w:t xml:space="preserve"> a </w:t>
      </w:r>
      <w:r w:rsidR="00752169">
        <w:rPr>
          <w:rFonts w:eastAsia="Bookman Old Style"/>
          <w:szCs w:val="24"/>
        </w:rPr>
        <w:t xml:space="preserve">global </w:t>
      </w:r>
      <w:r w:rsidRPr="006F5709">
        <w:rPr>
          <w:rFonts w:eastAsia="Bookman Old Style"/>
          <w:szCs w:val="24"/>
        </w:rPr>
        <w:t xml:space="preserve">COVID-19 </w:t>
      </w:r>
      <w:r w:rsidR="00933D93">
        <w:rPr>
          <w:rFonts w:eastAsia="Bookman Old Style"/>
          <w:szCs w:val="24"/>
        </w:rPr>
        <w:t xml:space="preserve">virus </w:t>
      </w:r>
      <w:r w:rsidR="00752169">
        <w:rPr>
          <w:rFonts w:eastAsia="Bookman Old Style"/>
          <w:szCs w:val="24"/>
        </w:rPr>
        <w:t xml:space="preserve">pandemic. Though vaccinations have </w:t>
      </w:r>
      <w:r w:rsidR="00933D93">
        <w:rPr>
          <w:rFonts w:eastAsia="Bookman Old Style"/>
          <w:szCs w:val="24"/>
        </w:rPr>
        <w:t xml:space="preserve">begun to </w:t>
      </w:r>
      <w:r w:rsidR="00752169">
        <w:rPr>
          <w:rFonts w:eastAsia="Bookman Old Style"/>
          <w:szCs w:val="24"/>
        </w:rPr>
        <w:t>decreas</w:t>
      </w:r>
      <w:r w:rsidR="00933D93">
        <w:rPr>
          <w:rFonts w:eastAsia="Bookman Old Style"/>
          <w:szCs w:val="24"/>
        </w:rPr>
        <w:t>e</w:t>
      </w:r>
      <w:r w:rsidR="00752169">
        <w:rPr>
          <w:rFonts w:eastAsia="Bookman Old Style"/>
          <w:szCs w:val="24"/>
        </w:rPr>
        <w:t xml:space="preserve"> </w:t>
      </w:r>
      <w:r w:rsidR="00933D93">
        <w:rPr>
          <w:rFonts w:eastAsia="Bookman Old Style"/>
          <w:szCs w:val="24"/>
        </w:rPr>
        <w:t xml:space="preserve">virus </w:t>
      </w:r>
      <w:r w:rsidR="00752169">
        <w:rPr>
          <w:rFonts w:eastAsia="Bookman Old Style"/>
          <w:szCs w:val="24"/>
        </w:rPr>
        <w:t>transmission and deaths, ever</w:t>
      </w:r>
      <w:r w:rsidR="00933D93">
        <w:rPr>
          <w:rFonts w:eastAsia="Bookman Old Style"/>
          <w:szCs w:val="24"/>
        </w:rPr>
        <w:t>-</w:t>
      </w:r>
      <w:r w:rsidR="00752169">
        <w:rPr>
          <w:rFonts w:eastAsia="Bookman Old Style"/>
          <w:szCs w:val="24"/>
        </w:rPr>
        <w:t xml:space="preserve">emerging </w:t>
      </w:r>
      <w:r w:rsidR="00933D93">
        <w:rPr>
          <w:rFonts w:eastAsia="Bookman Old Style"/>
          <w:szCs w:val="24"/>
        </w:rPr>
        <w:t xml:space="preserve">new </w:t>
      </w:r>
      <w:r w:rsidR="00752169">
        <w:rPr>
          <w:rFonts w:eastAsia="Bookman Old Style"/>
          <w:szCs w:val="24"/>
        </w:rPr>
        <w:t xml:space="preserve">variants of the virus threaten recovery. </w:t>
      </w:r>
      <w:r w:rsidR="00933D93">
        <w:rPr>
          <w:rFonts w:eastAsia="Bookman Old Style"/>
          <w:szCs w:val="24"/>
        </w:rPr>
        <w:t>Even a</w:t>
      </w:r>
      <w:r w:rsidR="00752169">
        <w:rPr>
          <w:rFonts w:eastAsia="Bookman Old Style"/>
          <w:szCs w:val="24"/>
        </w:rPr>
        <w:t xml:space="preserve">s our city and state begin </w:t>
      </w:r>
      <w:r w:rsidRPr="006F5709">
        <w:rPr>
          <w:rFonts w:eastAsia="Bookman Old Style"/>
          <w:szCs w:val="24"/>
        </w:rPr>
        <w:t>to reopen businesses and activities</w:t>
      </w:r>
      <w:r w:rsidR="00752169">
        <w:rPr>
          <w:rFonts w:eastAsia="Bookman Old Style"/>
          <w:szCs w:val="24"/>
        </w:rPr>
        <w:t xml:space="preserve">, </w:t>
      </w:r>
      <w:r w:rsidR="00933D93">
        <w:rPr>
          <w:rFonts w:eastAsia="Bookman Old Style"/>
          <w:szCs w:val="24"/>
        </w:rPr>
        <w:t xml:space="preserve">the Centers for Disease Control </w:t>
      </w:r>
      <w:r w:rsidR="00FB3595" w:rsidRPr="006F5709">
        <w:rPr>
          <w:rFonts w:eastAsia="Bookman Old Style"/>
          <w:szCs w:val="24"/>
        </w:rPr>
        <w:t>urge</w:t>
      </w:r>
      <w:r w:rsidR="00933D93">
        <w:rPr>
          <w:rFonts w:eastAsia="Bookman Old Style"/>
          <w:szCs w:val="24"/>
        </w:rPr>
        <w:t>s</w:t>
      </w:r>
      <w:r w:rsidR="00FB3595" w:rsidRPr="006F5709">
        <w:rPr>
          <w:rFonts w:eastAsia="Bookman Old Style"/>
          <w:szCs w:val="24"/>
        </w:rPr>
        <w:t xml:space="preserve"> everyone to </w:t>
      </w:r>
      <w:r w:rsidR="00541232">
        <w:rPr>
          <w:rFonts w:eastAsia="Bookman Old Style"/>
          <w:szCs w:val="24"/>
        </w:rPr>
        <w:t xml:space="preserve">continue </w:t>
      </w:r>
      <w:r w:rsidR="00FB3595" w:rsidRPr="006F5709">
        <w:rPr>
          <w:rFonts w:eastAsia="Bookman Old Style"/>
          <w:szCs w:val="24"/>
        </w:rPr>
        <w:t>tak</w:t>
      </w:r>
      <w:r w:rsidR="00541232">
        <w:rPr>
          <w:rFonts w:eastAsia="Bookman Old Style"/>
          <w:szCs w:val="24"/>
        </w:rPr>
        <w:t>ing</w:t>
      </w:r>
      <w:r w:rsidR="00FB3595" w:rsidRPr="006F5709">
        <w:rPr>
          <w:rFonts w:eastAsia="Bookman Old Style"/>
          <w:szCs w:val="24"/>
        </w:rPr>
        <w:t xml:space="preserve"> precautions to prevent spreading the virus</w:t>
      </w:r>
      <w:r w:rsidRPr="006F5709">
        <w:rPr>
          <w:rFonts w:eastAsia="Bookman Old Style"/>
          <w:szCs w:val="24"/>
        </w:rPr>
        <w:t>.</w:t>
      </w:r>
      <w:r w:rsidRPr="006F5709">
        <w:rPr>
          <w:rFonts w:eastAsia="Bookman Old Style"/>
          <w:szCs w:val="24"/>
          <w:vertAlign w:val="superscript"/>
        </w:rPr>
        <w:footnoteReference w:id="4"/>
      </w:r>
      <w:r w:rsidR="00176521" w:rsidRPr="006F5709">
        <w:rPr>
          <w:rFonts w:eastAsia="Bookman Old Style"/>
          <w:szCs w:val="24"/>
        </w:rPr>
        <w:t xml:space="preserve">                                                                                                                                                                                                                                                                                                                                                                                                                                                                                                                                                                                                                                                                                                                                                                                                                                                                                                                                                                                                                                                                                                                                                                                                                                                                                                                                                                                                                                                    </w:t>
      </w:r>
    </w:p>
    <w:p w14:paraId="5FC6DD75" w14:textId="25C0324E" w:rsidR="005254BC" w:rsidRPr="006F5709" w:rsidRDefault="005254BC" w:rsidP="003E7704">
      <w:pPr>
        <w:spacing w:line="360" w:lineRule="auto"/>
        <w:rPr>
          <w:rFonts w:eastAsia="Bookman Old Style"/>
          <w:bCs/>
          <w:szCs w:val="24"/>
        </w:rPr>
      </w:pPr>
      <w:r w:rsidRPr="006F5709">
        <w:rPr>
          <w:rFonts w:eastAsia="Bookman Old Style"/>
          <w:szCs w:val="24"/>
        </w:rPr>
        <w:t xml:space="preserve">The virus has pervaded all sectors of society, including jails. </w:t>
      </w:r>
      <w:r w:rsidRPr="006F5709">
        <w:rPr>
          <w:rFonts w:eastAsia="Bookman Old Style"/>
          <w:bCs/>
          <w:szCs w:val="24"/>
        </w:rPr>
        <w:t>Leading public health officials warned months ago that unless courts act immediately, the “epicenter of the pandemic will be jails and prisons.”</w:t>
      </w:r>
      <w:r w:rsidRPr="006F5709">
        <w:rPr>
          <w:rFonts w:eastAsia="Bookman Old Style"/>
          <w:bCs/>
          <w:szCs w:val="24"/>
          <w:vertAlign w:val="superscript"/>
        </w:rPr>
        <w:footnoteReference w:id="5"/>
      </w:r>
      <w:r w:rsidRPr="006F5709">
        <w:rPr>
          <w:rFonts w:eastAsia="Bookman Old Style"/>
          <w:bCs/>
          <w:szCs w:val="24"/>
        </w:rPr>
        <w:t xml:space="preserve"> As the CDC explained, correc</w:t>
      </w:r>
      <w:r w:rsidRPr="006F5709">
        <w:rPr>
          <w:rFonts w:eastAsia="Bookman Old Style"/>
          <w:bCs/>
          <w:szCs w:val="24"/>
        </w:rPr>
        <w:lastRenderedPageBreak/>
        <w:t>tional facilities “present[] unique challenges for control of COVID-19 transmission among incarcerated/detained persons, staff, and visitors.”</w:t>
      </w:r>
      <w:r w:rsidRPr="006F5709">
        <w:rPr>
          <w:rFonts w:eastAsia="Bookman Old Style"/>
          <w:bCs/>
          <w:szCs w:val="24"/>
          <w:vertAlign w:val="superscript"/>
        </w:rPr>
        <w:footnoteReference w:id="6"/>
      </w:r>
      <w:r w:rsidRPr="006F5709">
        <w:rPr>
          <w:rFonts w:eastAsia="Bookman Old Style"/>
          <w:bCs/>
          <w:szCs w:val="24"/>
        </w:rPr>
        <w:t xml:space="preserve"> “Prisons are epicenters for infectious diseases because of the higher background prevalence of infection, the higher levels of risk factors for infection, the unavoidable close contact in often overcrowded, poorly ventilated, and unsanitary facilities, and the poor access to healthcare services relative to that in community settings. Infections can be transmitted between prisoners, staff and visitors, between prisons through transfers and staff cross-deployment, and to and from the community. As such, prisons and other custodial settings are an integral part of the public health response to coronavirus</w:t>
      </w:r>
      <w:r w:rsidR="006F5709">
        <w:rPr>
          <w:rFonts w:eastAsia="Bookman Old Style"/>
          <w:bCs/>
          <w:szCs w:val="24"/>
        </w:rPr>
        <w:t xml:space="preserve"> disease.”</w:t>
      </w:r>
      <w:r w:rsidR="006F5709" w:rsidRPr="006F5709">
        <w:rPr>
          <w:rFonts w:eastAsia="Bookman Old Style"/>
          <w:bCs/>
          <w:szCs w:val="24"/>
          <w:vertAlign w:val="superscript"/>
        </w:rPr>
        <w:footnoteReference w:id="7"/>
      </w:r>
      <w:r w:rsidR="00176521" w:rsidRPr="006F5709">
        <w:rPr>
          <w:rFonts w:eastAsia="Bookman Old Style"/>
          <w:bCs/>
          <w:szCs w:val="24"/>
        </w:rPr>
        <w:t xml:space="preserve">                                                                                                                                                                                                                                                                                                                                                                                                                                                                                                                                                                                                                                                                                                                                                                                                                                                                                                                                                                                                                                                                                                                                                                                                                                                                                                                                                                                                                                                                            </w:t>
      </w:r>
    </w:p>
    <w:p w14:paraId="6B2AC557" w14:textId="4DD600EE" w:rsidR="005254BC" w:rsidRPr="006F5709" w:rsidRDefault="005254BC" w:rsidP="003E7704">
      <w:pPr>
        <w:spacing w:line="360" w:lineRule="auto"/>
        <w:rPr>
          <w:rFonts w:eastAsia="Bookman Old Style"/>
          <w:bCs/>
          <w:szCs w:val="24"/>
        </w:rPr>
      </w:pPr>
      <w:r w:rsidRPr="006F5709">
        <w:rPr>
          <w:szCs w:val="24"/>
        </w:rPr>
        <w:t>The S</w:t>
      </w:r>
      <w:r w:rsidR="008A0E76" w:rsidRPr="006F5709">
        <w:rPr>
          <w:szCs w:val="24"/>
        </w:rPr>
        <w:t>an Francisco</w:t>
      </w:r>
      <w:r w:rsidRPr="006F5709">
        <w:rPr>
          <w:szCs w:val="24"/>
        </w:rPr>
        <w:t xml:space="preserve"> jail population reached a low of 697 in late April</w:t>
      </w:r>
      <w:r w:rsidR="00C35CDB">
        <w:rPr>
          <w:szCs w:val="24"/>
        </w:rPr>
        <w:t>, 2020</w:t>
      </w:r>
      <w:r w:rsidRPr="006F5709">
        <w:rPr>
          <w:szCs w:val="24"/>
        </w:rPr>
        <w:t>. Since then, i</w:t>
      </w:r>
      <w:r w:rsidR="00131710">
        <w:rPr>
          <w:szCs w:val="24"/>
        </w:rPr>
        <w:t xml:space="preserve">t has climbed </w:t>
      </w:r>
      <w:r w:rsidRPr="006F5709">
        <w:rPr>
          <w:szCs w:val="24"/>
        </w:rPr>
        <w:t>stead</w:t>
      </w:r>
      <w:r w:rsidR="00131710">
        <w:rPr>
          <w:szCs w:val="24"/>
        </w:rPr>
        <w:t>ily</w:t>
      </w:r>
      <w:r w:rsidRPr="006F5709">
        <w:rPr>
          <w:szCs w:val="24"/>
        </w:rPr>
        <w:t>, in part due to termination of the Emergency Bail Schedule</w:t>
      </w:r>
      <w:r w:rsidR="00933D93">
        <w:rPr>
          <w:szCs w:val="24"/>
        </w:rPr>
        <w:t xml:space="preserve">. The current jail population is </w:t>
      </w:r>
      <w:r w:rsidR="00933D93" w:rsidRPr="00933D93">
        <w:rPr>
          <w:szCs w:val="24"/>
          <w:highlight w:val="yellow"/>
        </w:rPr>
        <w:t>__</w:t>
      </w:r>
      <w:r w:rsidR="00933D93">
        <w:rPr>
          <w:szCs w:val="24"/>
        </w:rPr>
        <w:t xml:space="preserve"> and</w:t>
      </w:r>
      <w:r w:rsidRPr="006F5709">
        <w:rPr>
          <w:szCs w:val="24"/>
        </w:rPr>
        <w:t xml:space="preserve"> </w:t>
      </w:r>
      <w:r w:rsidR="00933D93" w:rsidRPr="00933D93">
        <w:rPr>
          <w:szCs w:val="24"/>
          <w:highlight w:val="yellow"/>
        </w:rPr>
        <w:t>__</w:t>
      </w:r>
      <w:r w:rsidRPr="006F5709">
        <w:rPr>
          <w:szCs w:val="24"/>
        </w:rPr>
        <w:t xml:space="preserve"> cases of COVID-19 have been diagnosed in the jail during the pandemic thus far</w:t>
      </w:r>
      <w:r w:rsidR="00933D93">
        <w:rPr>
          <w:szCs w:val="24"/>
        </w:rPr>
        <w:t>.</w:t>
      </w:r>
      <w:r w:rsidR="00933D93">
        <w:rPr>
          <w:rStyle w:val="FootnoteReference"/>
          <w:szCs w:val="24"/>
        </w:rPr>
        <w:footnoteReference w:id="8"/>
      </w:r>
    </w:p>
    <w:p w14:paraId="62E193C3" w14:textId="30DFD676" w:rsidR="005254BC" w:rsidRPr="006F5709" w:rsidRDefault="00B16B67" w:rsidP="003E7704">
      <w:pPr>
        <w:spacing w:line="360" w:lineRule="auto"/>
        <w:rPr>
          <w:rFonts w:eastAsia="Bookman Old Style"/>
          <w:bCs/>
          <w:szCs w:val="24"/>
        </w:rPr>
      </w:pPr>
      <w:r w:rsidRPr="006F5709">
        <w:rPr>
          <w:rFonts w:eastAsia="Bookman Old Style"/>
          <w:szCs w:val="24"/>
        </w:rPr>
        <w:t>Significantly, o</w:t>
      </w:r>
      <w:r w:rsidR="005254BC" w:rsidRPr="006F5709">
        <w:rPr>
          <w:rFonts w:eastAsia="Bookman Old Style"/>
          <w:szCs w:val="24"/>
        </w:rPr>
        <w:t>n October 13, 2020, San Francisco’s Jail Medical Director Lisa Pratt, M.D., D.P.H.</w:t>
      </w:r>
      <w:r w:rsidR="005254BC" w:rsidRPr="006F5709">
        <w:rPr>
          <w:szCs w:val="24"/>
        </w:rPr>
        <w:t xml:space="preserve">, issued a dire warning that, with the recent increasing jail </w:t>
      </w:r>
      <w:r w:rsidR="005254BC" w:rsidRPr="006F5709">
        <w:rPr>
          <w:szCs w:val="24"/>
        </w:rPr>
        <w:lastRenderedPageBreak/>
        <w:t>population and the closure of one facility, County Jail 4, it is “virtually impossible” to prevent mixing of people in various stages of quarantine and isolation and urged further jail population reduction of more than 25%.</w:t>
      </w:r>
      <w:r w:rsidR="005254BC" w:rsidRPr="006F5709">
        <w:rPr>
          <w:szCs w:val="24"/>
          <w:vertAlign w:val="superscript"/>
        </w:rPr>
        <w:footnoteReference w:id="9"/>
      </w:r>
      <w:r w:rsidR="005254BC" w:rsidRPr="006F5709">
        <w:rPr>
          <w:szCs w:val="24"/>
        </w:rPr>
        <w:t xml:space="preserve"> “This is how an outbreak begins in a correctional setting</w:t>
      </w:r>
      <w:r w:rsidR="008A0E76" w:rsidRPr="006F5709">
        <w:rPr>
          <w:szCs w:val="24"/>
        </w:rPr>
        <w:t>,</w:t>
      </w:r>
      <w:r w:rsidR="005254BC" w:rsidRPr="006F5709">
        <w:rPr>
          <w:szCs w:val="24"/>
        </w:rPr>
        <w:t xml:space="preserve">” </w:t>
      </w:r>
      <w:r w:rsidR="008A0E76" w:rsidRPr="006F5709">
        <w:rPr>
          <w:szCs w:val="24"/>
        </w:rPr>
        <w:t xml:space="preserve">she warned. </w:t>
      </w:r>
      <w:r w:rsidR="005254BC" w:rsidRPr="006F5709">
        <w:rPr>
          <w:szCs w:val="24"/>
        </w:rPr>
        <w:t xml:space="preserve">Dr. Pratt </w:t>
      </w:r>
      <w:r w:rsidR="005254BC" w:rsidRPr="006F5709">
        <w:rPr>
          <w:rFonts w:eastAsia="Bookman Old Style"/>
          <w:szCs w:val="24"/>
        </w:rPr>
        <w:t xml:space="preserve">advised all those in the criminal legal system that a serious reduction in the jail population is required, given the changed conditions. </w:t>
      </w:r>
    </w:p>
    <w:p w14:paraId="15DAEA8D" w14:textId="5930F37C" w:rsidR="005254BC" w:rsidRPr="006F5709" w:rsidRDefault="005254BC" w:rsidP="003E7704">
      <w:pPr>
        <w:pStyle w:val="ListParagraph"/>
        <w:numPr>
          <w:ilvl w:val="0"/>
          <w:numId w:val="24"/>
        </w:numPr>
        <w:spacing w:line="360" w:lineRule="auto"/>
        <w:rPr>
          <w:rFonts w:eastAsia="Bookman Old Style"/>
          <w:b/>
          <w:bCs/>
          <w:szCs w:val="24"/>
        </w:rPr>
      </w:pPr>
      <w:r w:rsidRPr="006F5709">
        <w:rPr>
          <w:rFonts w:eastAsia="Bookman Old Style"/>
          <w:b/>
          <w:bCs/>
          <w:szCs w:val="24"/>
          <w:highlight w:val="yellow"/>
        </w:rPr>
        <w:t>_______</w:t>
      </w:r>
      <w:r w:rsidRPr="006F5709">
        <w:rPr>
          <w:rFonts w:eastAsia="Bookman Old Style"/>
          <w:b/>
          <w:bCs/>
          <w:szCs w:val="24"/>
        </w:rPr>
        <w:t>’s jail conditions.</w:t>
      </w:r>
    </w:p>
    <w:p w14:paraId="0A64F07B" w14:textId="300CFB8D" w:rsidR="005254BC" w:rsidRPr="006F5709" w:rsidRDefault="008D4190" w:rsidP="003E7704">
      <w:pPr>
        <w:spacing w:line="360" w:lineRule="auto"/>
        <w:rPr>
          <w:szCs w:val="24"/>
        </w:rPr>
      </w:pPr>
      <w:r w:rsidRPr="006F5709">
        <w:rPr>
          <w:szCs w:val="24"/>
          <w:highlight w:val="yellow"/>
        </w:rPr>
        <w:t>______</w:t>
      </w:r>
      <w:r w:rsidR="005254BC" w:rsidRPr="006F5709">
        <w:rPr>
          <w:szCs w:val="24"/>
        </w:rPr>
        <w:t xml:space="preserve"> has been housed in </w:t>
      </w:r>
      <w:r w:rsidR="00C35B7C">
        <w:rPr>
          <w:szCs w:val="24"/>
        </w:rPr>
        <w:t>County Jail</w:t>
      </w:r>
      <w:r w:rsidR="005254BC" w:rsidRPr="006F5709">
        <w:rPr>
          <w:szCs w:val="24"/>
        </w:rPr>
        <w:t xml:space="preserve"> </w:t>
      </w:r>
      <w:r w:rsidR="00C35B7C" w:rsidRPr="00C35B7C">
        <w:rPr>
          <w:szCs w:val="24"/>
          <w:highlight w:val="yellow"/>
        </w:rPr>
        <w:t>__</w:t>
      </w:r>
      <w:r w:rsidR="00C35B7C">
        <w:rPr>
          <w:szCs w:val="24"/>
        </w:rPr>
        <w:t xml:space="preserve"> </w:t>
      </w:r>
      <w:r w:rsidR="005254BC" w:rsidRPr="006F5709">
        <w:rPr>
          <w:szCs w:val="24"/>
        </w:rPr>
        <w:t xml:space="preserve">since </w:t>
      </w:r>
      <w:r w:rsidR="00C35B7C" w:rsidRPr="00C35B7C">
        <w:rPr>
          <w:szCs w:val="24"/>
          <w:highlight w:val="yellow"/>
        </w:rPr>
        <w:t>______</w:t>
      </w:r>
      <w:r w:rsidR="005254BC" w:rsidRPr="006F5709">
        <w:rPr>
          <w:szCs w:val="24"/>
        </w:rPr>
        <w:t xml:space="preserve">, </w:t>
      </w:r>
      <w:r w:rsidR="00933D93">
        <w:rPr>
          <w:szCs w:val="24"/>
        </w:rPr>
        <w:t>[</w:t>
      </w:r>
      <w:r w:rsidR="00933D93" w:rsidRPr="00933D93">
        <w:rPr>
          <w:szCs w:val="24"/>
          <w:highlight w:val="yellow"/>
        </w:rPr>
        <w:t>describe conditions</w:t>
      </w:r>
      <w:r w:rsidR="00933D93">
        <w:rPr>
          <w:szCs w:val="24"/>
        </w:rPr>
        <w:t>, e</w:t>
      </w:r>
      <w:r w:rsidR="00541232">
        <w:rPr>
          <w:szCs w:val="24"/>
        </w:rPr>
        <w:t>.</w:t>
      </w:r>
      <w:r w:rsidR="00933D93">
        <w:rPr>
          <w:szCs w:val="24"/>
        </w:rPr>
        <w:t>g</w:t>
      </w:r>
      <w:r w:rsidR="00541232">
        <w:rPr>
          <w:szCs w:val="24"/>
        </w:rPr>
        <w:t>.</w:t>
      </w:r>
      <w:r w:rsidR="00933D93">
        <w:rPr>
          <w:szCs w:val="24"/>
        </w:rPr>
        <w:t xml:space="preserve">, in a </w:t>
      </w:r>
      <w:r w:rsidR="005254BC" w:rsidRPr="006F5709">
        <w:rPr>
          <w:szCs w:val="24"/>
        </w:rPr>
        <w:t>two-person cell measuring approximately four feet by nine feet, with a roommate.</w:t>
      </w:r>
      <w:r w:rsidR="00933D93">
        <w:rPr>
          <w:szCs w:val="24"/>
        </w:rPr>
        <w:t>]</w:t>
      </w:r>
      <w:r w:rsidR="005254BC" w:rsidRPr="006F5709">
        <w:rPr>
          <w:szCs w:val="24"/>
        </w:rPr>
        <w:t xml:space="preserve"> </w:t>
      </w:r>
      <w:r w:rsidR="00933D93" w:rsidRPr="00541232">
        <w:rPr>
          <w:szCs w:val="24"/>
          <w:highlight w:val="yellow"/>
        </w:rPr>
        <w:t>He/she/they</w:t>
      </w:r>
      <w:r w:rsidR="005254BC" w:rsidRPr="006F5709">
        <w:rPr>
          <w:szCs w:val="24"/>
        </w:rPr>
        <w:t xml:space="preserve"> is allowed out of the cell for approximately one hour a day, during which </w:t>
      </w:r>
      <w:r w:rsidR="00933D93" w:rsidRPr="00541232">
        <w:rPr>
          <w:szCs w:val="24"/>
          <w:highlight w:val="yellow"/>
        </w:rPr>
        <w:t>he/she/they</w:t>
      </w:r>
      <w:r w:rsidR="005254BC" w:rsidRPr="006F5709">
        <w:rPr>
          <w:szCs w:val="24"/>
        </w:rPr>
        <w:t xml:space="preserve"> must shower and use the phone. </w:t>
      </w:r>
      <w:r w:rsidR="005254BC" w:rsidRPr="00541232">
        <w:rPr>
          <w:szCs w:val="24"/>
          <w:highlight w:val="yellow"/>
        </w:rPr>
        <w:t>He</w:t>
      </w:r>
      <w:r w:rsidR="00933D93" w:rsidRPr="00541232">
        <w:rPr>
          <w:szCs w:val="24"/>
          <w:highlight w:val="yellow"/>
        </w:rPr>
        <w:t>/she/they</w:t>
      </w:r>
      <w:r w:rsidR="005254BC" w:rsidRPr="006F5709">
        <w:rPr>
          <w:szCs w:val="24"/>
        </w:rPr>
        <w:t xml:space="preserve"> is never permitted outside and has not been outside for the whole of </w:t>
      </w:r>
      <w:r w:rsidR="005254BC" w:rsidRPr="00933D93">
        <w:rPr>
          <w:szCs w:val="24"/>
          <w:highlight w:val="yellow"/>
        </w:rPr>
        <w:t>his</w:t>
      </w:r>
      <w:r w:rsidR="00933D93" w:rsidRPr="00933D93">
        <w:rPr>
          <w:szCs w:val="24"/>
          <w:highlight w:val="yellow"/>
        </w:rPr>
        <w:t>/her/their</w:t>
      </w:r>
      <w:r w:rsidR="005254BC" w:rsidRPr="006F5709">
        <w:rPr>
          <w:szCs w:val="24"/>
        </w:rPr>
        <w:t xml:space="preserve"> incarceration but for a bus trip when </w:t>
      </w:r>
      <w:r w:rsidR="00933D93" w:rsidRPr="00541232">
        <w:rPr>
          <w:szCs w:val="24"/>
          <w:highlight w:val="yellow"/>
        </w:rPr>
        <w:t>he/she/they</w:t>
      </w:r>
      <w:r w:rsidR="005254BC" w:rsidRPr="006F5709">
        <w:rPr>
          <w:szCs w:val="24"/>
        </w:rPr>
        <w:t xml:space="preserve"> was transferred between jails and bus trips to court.  </w:t>
      </w:r>
    </w:p>
    <w:p w14:paraId="5221091A" w14:textId="08ACA7DD" w:rsidR="005254BC" w:rsidRPr="006F5709" w:rsidRDefault="005254BC" w:rsidP="003E7704">
      <w:pPr>
        <w:spacing w:line="360" w:lineRule="auto"/>
        <w:rPr>
          <w:szCs w:val="24"/>
        </w:rPr>
      </w:pPr>
      <w:r w:rsidRPr="006F5709">
        <w:rPr>
          <w:szCs w:val="24"/>
        </w:rPr>
        <w:t xml:space="preserve">Not a single class or program has been available during </w:t>
      </w:r>
      <w:r w:rsidR="008D4190" w:rsidRPr="006F5709">
        <w:rPr>
          <w:szCs w:val="24"/>
          <w:highlight w:val="yellow"/>
        </w:rPr>
        <w:t>______</w:t>
      </w:r>
      <w:r w:rsidRPr="006F5709">
        <w:rPr>
          <w:szCs w:val="24"/>
        </w:rPr>
        <w:t xml:space="preserve">’s  incarceration, due to the pandemic. </w:t>
      </w:r>
      <w:r w:rsidR="008D4190" w:rsidRPr="006F5709">
        <w:rPr>
          <w:szCs w:val="24"/>
          <w:highlight w:val="yellow"/>
        </w:rPr>
        <w:t>______</w:t>
      </w:r>
      <w:r w:rsidRPr="006F5709">
        <w:rPr>
          <w:szCs w:val="24"/>
        </w:rPr>
        <w:t xml:space="preserve"> has not had </w:t>
      </w:r>
      <w:r w:rsidR="00E1260D">
        <w:rPr>
          <w:szCs w:val="24"/>
        </w:rPr>
        <w:t>an</w:t>
      </w:r>
      <w:r w:rsidRPr="006F5709">
        <w:rPr>
          <w:szCs w:val="24"/>
        </w:rPr>
        <w:t xml:space="preserve"> in-person visit </w:t>
      </w:r>
      <w:r w:rsidR="00E1260D">
        <w:rPr>
          <w:szCs w:val="24"/>
        </w:rPr>
        <w:t xml:space="preserve">or any physical human contact </w:t>
      </w:r>
      <w:r w:rsidRPr="006F5709">
        <w:rPr>
          <w:szCs w:val="24"/>
        </w:rPr>
        <w:t xml:space="preserve">for </w:t>
      </w:r>
      <w:r w:rsidRPr="00933D93">
        <w:rPr>
          <w:szCs w:val="24"/>
          <w:highlight w:val="yellow"/>
        </w:rPr>
        <w:t>his</w:t>
      </w:r>
      <w:r w:rsidR="00933D93" w:rsidRPr="00933D93">
        <w:rPr>
          <w:szCs w:val="24"/>
          <w:highlight w:val="yellow"/>
        </w:rPr>
        <w:t>/her/their</w:t>
      </w:r>
      <w:r w:rsidRPr="006F5709">
        <w:rPr>
          <w:szCs w:val="24"/>
        </w:rPr>
        <w:t xml:space="preserve"> entire term</w:t>
      </w:r>
      <w:r w:rsidR="00E1260D">
        <w:rPr>
          <w:szCs w:val="24"/>
        </w:rPr>
        <w:t xml:space="preserve"> in custody.</w:t>
      </w:r>
      <w:r w:rsidRPr="006F5709">
        <w:rPr>
          <w:szCs w:val="24"/>
        </w:rPr>
        <w:t xml:space="preserve"> </w:t>
      </w:r>
    </w:p>
    <w:p w14:paraId="58670748" w14:textId="38BC96E3" w:rsidR="005254BC" w:rsidRPr="006F5709" w:rsidRDefault="008D4190" w:rsidP="00C35CDB">
      <w:pPr>
        <w:spacing w:line="360" w:lineRule="auto"/>
        <w:rPr>
          <w:szCs w:val="24"/>
        </w:rPr>
      </w:pPr>
      <w:r w:rsidRPr="006F5709">
        <w:rPr>
          <w:szCs w:val="24"/>
          <w:highlight w:val="yellow"/>
        </w:rPr>
        <w:t>______</w:t>
      </w:r>
      <w:r w:rsidR="005254BC" w:rsidRPr="006F5709">
        <w:rPr>
          <w:szCs w:val="24"/>
        </w:rPr>
        <w:t xml:space="preserve"> can only communicate with counsel in 30-minute videoconferences. It is not possible for counsel to </w:t>
      </w:r>
      <w:r w:rsidR="00C35B7C">
        <w:rPr>
          <w:szCs w:val="24"/>
        </w:rPr>
        <w:t xml:space="preserve">consult </w:t>
      </w:r>
      <w:r w:rsidR="005254BC" w:rsidRPr="006F5709">
        <w:rPr>
          <w:szCs w:val="24"/>
        </w:rPr>
        <w:t xml:space="preserve">with </w:t>
      </w:r>
      <w:r w:rsidR="005254BC" w:rsidRPr="00933D93">
        <w:rPr>
          <w:szCs w:val="24"/>
          <w:highlight w:val="yellow"/>
        </w:rPr>
        <w:t>h</w:t>
      </w:r>
      <w:r w:rsidR="00933D93" w:rsidRPr="00933D93">
        <w:rPr>
          <w:szCs w:val="24"/>
          <w:highlight w:val="yellow"/>
        </w:rPr>
        <w:t>im/her/them</w:t>
      </w:r>
      <w:r w:rsidR="00933D93">
        <w:rPr>
          <w:szCs w:val="24"/>
        </w:rPr>
        <w:t xml:space="preserve"> in</w:t>
      </w:r>
      <w:r w:rsidR="005254BC" w:rsidRPr="006F5709">
        <w:rPr>
          <w:szCs w:val="24"/>
        </w:rPr>
        <w:t xml:space="preserve"> any meaningful way without in-person visits. </w:t>
      </w:r>
    </w:p>
    <w:p w14:paraId="0661E95F" w14:textId="77777777" w:rsidR="00386A00" w:rsidRPr="006F5709" w:rsidRDefault="00386A00" w:rsidP="003E7704">
      <w:pPr>
        <w:pStyle w:val="Title"/>
        <w:numPr>
          <w:ilvl w:val="0"/>
          <w:numId w:val="0"/>
        </w:numPr>
        <w:spacing w:line="360" w:lineRule="auto"/>
        <w:ind w:left="720" w:hanging="720"/>
        <w:rPr>
          <w:rFonts w:ascii="Century Schoolbook" w:eastAsia="Bookman Old Style" w:hAnsi="Century Schoolbook"/>
          <w:b w:val="0"/>
          <w:sz w:val="24"/>
          <w:szCs w:val="24"/>
        </w:rPr>
      </w:pPr>
      <w:r w:rsidRPr="006F5709">
        <w:rPr>
          <w:rFonts w:ascii="Century Schoolbook" w:eastAsia="Bookman Old Style" w:hAnsi="Century Schoolbook"/>
          <w:sz w:val="24"/>
          <w:szCs w:val="24"/>
        </w:rPr>
        <w:t>Memorandum of Points and Authorities</w:t>
      </w:r>
    </w:p>
    <w:p w14:paraId="7E6AD710" w14:textId="79CB7488" w:rsidR="00DA630A" w:rsidRPr="006F5709" w:rsidRDefault="005F12CE" w:rsidP="003E7704">
      <w:pPr>
        <w:pStyle w:val="Title"/>
        <w:numPr>
          <w:ilvl w:val="0"/>
          <w:numId w:val="0"/>
        </w:numPr>
        <w:spacing w:line="360" w:lineRule="auto"/>
        <w:ind w:firstLine="360"/>
        <w:jc w:val="left"/>
        <w:rPr>
          <w:rFonts w:ascii="Century Schoolbook" w:eastAsia="Bookman Old Style" w:hAnsi="Century Schoolbook"/>
          <w:b w:val="0"/>
          <w:sz w:val="24"/>
          <w:szCs w:val="24"/>
        </w:rPr>
      </w:pPr>
      <w:r w:rsidRPr="006F5709">
        <w:rPr>
          <w:rFonts w:ascii="Century Schoolbook" w:eastAsia="Bookman Old Style" w:hAnsi="Century Schoolbook"/>
          <w:b w:val="0"/>
          <w:sz w:val="24"/>
          <w:szCs w:val="24"/>
        </w:rPr>
        <w:lastRenderedPageBreak/>
        <w:t>In our society</w:t>
      </w:r>
      <w:r w:rsidR="00344ACC">
        <w:rPr>
          <w:rFonts w:ascii="Century Schoolbook" w:eastAsia="Bookman Old Style" w:hAnsi="Century Schoolbook"/>
          <w:b w:val="0"/>
          <w:sz w:val="24"/>
          <w:szCs w:val="24"/>
        </w:rPr>
        <w:t>,</w:t>
      </w:r>
      <w:r w:rsidRPr="006F5709">
        <w:rPr>
          <w:rFonts w:ascii="Century Schoolbook" w:eastAsia="Bookman Old Style" w:hAnsi="Century Schoolbook"/>
          <w:b w:val="0"/>
          <w:sz w:val="24"/>
          <w:szCs w:val="24"/>
        </w:rPr>
        <w:t xml:space="preserve"> </w:t>
      </w:r>
      <w:r w:rsidR="001F4C5E">
        <w:rPr>
          <w:rFonts w:ascii="Century Schoolbook" w:eastAsia="Bookman Old Style" w:hAnsi="Century Schoolbook"/>
          <w:b w:val="0"/>
          <w:sz w:val="24"/>
          <w:szCs w:val="24"/>
        </w:rPr>
        <w:t>“</w:t>
      </w:r>
      <w:r w:rsidRPr="006F5709">
        <w:rPr>
          <w:rFonts w:ascii="Century Schoolbook" w:eastAsia="Bookman Old Style" w:hAnsi="Century Schoolbook"/>
          <w:b w:val="0"/>
          <w:sz w:val="24"/>
          <w:szCs w:val="24"/>
        </w:rPr>
        <w:t>liberty is the norm, and detention prior to trial or without trial is the carefully limited exception.”</w:t>
      </w:r>
      <w:r w:rsidRPr="006F5709">
        <w:rPr>
          <w:rStyle w:val="FootnoteReference"/>
          <w:rFonts w:ascii="Century Schoolbook" w:eastAsia="Bookman Old Style" w:hAnsi="Century Schoolbook"/>
          <w:b w:val="0"/>
          <w:sz w:val="24"/>
          <w:szCs w:val="24"/>
        </w:rPr>
        <w:footnoteReference w:id="10"/>
      </w:r>
      <w:r w:rsidRPr="006F5709">
        <w:rPr>
          <w:rFonts w:ascii="Century Schoolbook" w:eastAsia="Bookman Old Style" w:hAnsi="Century Schoolbook"/>
          <w:b w:val="0"/>
          <w:sz w:val="24"/>
          <w:szCs w:val="24"/>
        </w:rPr>
        <w:t xml:space="preserve"> Under California law, “defendants charged with noncapital offenses are generally entitled to bail.”</w:t>
      </w:r>
      <w:r w:rsidRPr="006F5709">
        <w:rPr>
          <w:rStyle w:val="FootnoteReference"/>
          <w:rFonts w:ascii="Century Schoolbook" w:eastAsia="Bookman Old Style" w:hAnsi="Century Schoolbook"/>
          <w:b w:val="0"/>
          <w:sz w:val="24"/>
          <w:szCs w:val="24"/>
        </w:rPr>
        <w:footnoteReference w:id="11"/>
      </w:r>
      <w:r w:rsidRPr="006F5709">
        <w:rPr>
          <w:rFonts w:ascii="Century Schoolbook" w:eastAsia="Bookman Old Style" w:hAnsi="Century Schoolbook"/>
          <w:b w:val="0"/>
          <w:sz w:val="24"/>
          <w:szCs w:val="24"/>
        </w:rPr>
        <w:t xml:space="preserve"> Historically, the California Constitution has conferred “an absolute right to bail except in a narrow class of cases.”</w:t>
      </w:r>
      <w:r w:rsidR="00B32823" w:rsidRPr="006F5709">
        <w:rPr>
          <w:rStyle w:val="FootnoteReference"/>
          <w:rFonts w:ascii="Century Schoolbook" w:eastAsia="Bookman Old Style" w:hAnsi="Century Schoolbook"/>
          <w:b w:val="0"/>
          <w:sz w:val="24"/>
          <w:szCs w:val="24"/>
        </w:rPr>
        <w:footnoteReference w:id="12"/>
      </w:r>
      <w:r w:rsidRPr="006F5709">
        <w:rPr>
          <w:rFonts w:ascii="Century Schoolbook" w:eastAsia="Bookman Old Style" w:hAnsi="Century Schoolbook"/>
          <w:b w:val="0"/>
          <w:sz w:val="24"/>
          <w:szCs w:val="24"/>
        </w:rPr>
        <w:t xml:space="preserve"> </w:t>
      </w:r>
      <w:r w:rsidR="00DA630A" w:rsidRPr="006F5709">
        <w:rPr>
          <w:rFonts w:ascii="Century Schoolbook" w:eastAsia="Bookman Old Style" w:hAnsi="Century Schoolbook"/>
          <w:b w:val="0"/>
          <w:sz w:val="24"/>
          <w:szCs w:val="24"/>
        </w:rPr>
        <w:t>Article I, section 12 of t</w:t>
      </w:r>
      <w:r w:rsidRPr="006F5709">
        <w:rPr>
          <w:rFonts w:ascii="Century Schoolbook" w:eastAsia="Bookman Old Style" w:hAnsi="Century Schoolbook"/>
          <w:b w:val="0"/>
          <w:sz w:val="24"/>
          <w:szCs w:val="24"/>
        </w:rPr>
        <w:t>he California Constitution delineates certain exceptions under which a defendant may be denied bail.</w:t>
      </w:r>
    </w:p>
    <w:p w14:paraId="24E33052" w14:textId="098E20A7" w:rsidR="009A2365" w:rsidRPr="006F5709" w:rsidRDefault="00DA630A" w:rsidP="003E7704">
      <w:pPr>
        <w:pStyle w:val="Title"/>
        <w:numPr>
          <w:ilvl w:val="0"/>
          <w:numId w:val="0"/>
        </w:numPr>
        <w:spacing w:line="360" w:lineRule="auto"/>
        <w:jc w:val="left"/>
        <w:rPr>
          <w:rFonts w:ascii="Century Schoolbook" w:eastAsia="Bookman Old Style" w:hAnsi="Century Schoolbook"/>
          <w:b w:val="0"/>
          <w:sz w:val="24"/>
          <w:szCs w:val="24"/>
        </w:rPr>
      </w:pPr>
      <w:r w:rsidRPr="006F5709">
        <w:rPr>
          <w:rFonts w:ascii="Century Schoolbook" w:eastAsia="Bookman Old Style" w:hAnsi="Century Schoolbook"/>
          <w:b w:val="0"/>
          <w:sz w:val="24"/>
          <w:szCs w:val="24"/>
        </w:rPr>
        <w:t xml:space="preserve">     </w:t>
      </w:r>
      <w:r w:rsidR="00656A23">
        <w:rPr>
          <w:rFonts w:ascii="Century Schoolbook" w:eastAsia="Bookman Old Style" w:hAnsi="Century Schoolbook"/>
          <w:b w:val="0"/>
          <w:sz w:val="24"/>
          <w:szCs w:val="24"/>
        </w:rPr>
        <w:t xml:space="preserve">The California Supreme Court in the recent </w:t>
      </w:r>
      <w:r w:rsidR="00656A23" w:rsidRPr="00656A23">
        <w:rPr>
          <w:rFonts w:ascii="Century Schoolbook" w:eastAsia="Bookman Old Style" w:hAnsi="Century Schoolbook"/>
          <w:b w:val="0"/>
          <w:i/>
          <w:iCs/>
          <w:sz w:val="24"/>
          <w:szCs w:val="24"/>
        </w:rPr>
        <w:t>Humphrey</w:t>
      </w:r>
      <w:r w:rsidR="00656A23">
        <w:rPr>
          <w:rFonts w:ascii="Century Schoolbook" w:eastAsia="Bookman Old Style" w:hAnsi="Century Schoolbook"/>
          <w:b w:val="0"/>
          <w:sz w:val="24"/>
          <w:szCs w:val="24"/>
        </w:rPr>
        <w:t xml:space="preserve"> decision held that </w:t>
      </w:r>
      <w:r w:rsidR="003D4924">
        <w:rPr>
          <w:rFonts w:ascii="Century Schoolbook" w:eastAsia="Bookman Old Style" w:hAnsi="Century Schoolbook"/>
          <w:b w:val="0"/>
          <w:sz w:val="24"/>
          <w:szCs w:val="24"/>
        </w:rPr>
        <w:t xml:space="preserve">conditioning </w:t>
      </w:r>
      <w:r w:rsidR="00FA1622">
        <w:rPr>
          <w:rFonts w:ascii="Century Schoolbook" w:eastAsia="Bookman Old Style" w:hAnsi="Century Schoolbook"/>
          <w:b w:val="0"/>
          <w:sz w:val="24"/>
          <w:szCs w:val="24"/>
        </w:rPr>
        <w:t xml:space="preserve">a person’s freedom on the ability to </w:t>
      </w:r>
      <w:r w:rsidR="00EC6642">
        <w:rPr>
          <w:rFonts w:ascii="Century Schoolbook" w:eastAsia="Bookman Old Style" w:hAnsi="Century Schoolbook"/>
          <w:b w:val="0"/>
          <w:sz w:val="24"/>
          <w:szCs w:val="24"/>
        </w:rPr>
        <w:t xml:space="preserve">pay </w:t>
      </w:r>
      <w:r w:rsidR="00FA1622">
        <w:rPr>
          <w:rFonts w:ascii="Century Schoolbook" w:eastAsia="Bookman Old Style" w:hAnsi="Century Schoolbook"/>
          <w:b w:val="0"/>
          <w:sz w:val="24"/>
          <w:szCs w:val="24"/>
        </w:rPr>
        <w:t>bail</w:t>
      </w:r>
      <w:r w:rsidR="00656A23">
        <w:rPr>
          <w:rFonts w:ascii="Century Schoolbook" w:eastAsia="Bookman Old Style" w:hAnsi="Century Schoolbook"/>
          <w:b w:val="0"/>
          <w:sz w:val="24"/>
          <w:szCs w:val="24"/>
        </w:rPr>
        <w:t xml:space="preserve"> is unconstitutional,</w:t>
      </w:r>
      <w:r w:rsidR="00656A23">
        <w:rPr>
          <w:rStyle w:val="FootnoteReference"/>
          <w:rFonts w:ascii="Century Schoolbook" w:eastAsia="Bookman Old Style" w:hAnsi="Century Schoolbook"/>
          <w:b w:val="0"/>
          <w:sz w:val="24"/>
          <w:szCs w:val="24"/>
        </w:rPr>
        <w:footnoteReference w:id="13"/>
      </w:r>
      <w:r w:rsidR="00656A23">
        <w:rPr>
          <w:rFonts w:ascii="Century Schoolbook" w:eastAsia="Bookman Old Style" w:hAnsi="Century Schoolbook"/>
          <w:b w:val="0"/>
          <w:sz w:val="24"/>
          <w:szCs w:val="24"/>
        </w:rPr>
        <w:t xml:space="preserve"> confirm</w:t>
      </w:r>
      <w:r w:rsidR="00541232">
        <w:rPr>
          <w:rFonts w:ascii="Century Schoolbook" w:eastAsia="Bookman Old Style" w:hAnsi="Century Schoolbook"/>
          <w:b w:val="0"/>
          <w:sz w:val="24"/>
          <w:szCs w:val="24"/>
        </w:rPr>
        <w:t>ing</w:t>
      </w:r>
      <w:r w:rsidR="00656A23">
        <w:rPr>
          <w:rFonts w:ascii="Century Schoolbook" w:eastAsia="Bookman Old Style" w:hAnsi="Century Schoolbook"/>
          <w:b w:val="0"/>
          <w:sz w:val="24"/>
          <w:szCs w:val="24"/>
        </w:rPr>
        <w:t xml:space="preserve"> long-standing precepts that</w:t>
      </w:r>
      <w:r w:rsidR="00386A00" w:rsidRPr="006F5709">
        <w:rPr>
          <w:rFonts w:ascii="Century Schoolbook" w:eastAsia="Bookman Old Style" w:hAnsi="Century Schoolbook"/>
          <w:b w:val="0"/>
          <w:sz w:val="24"/>
          <w:szCs w:val="24"/>
        </w:rPr>
        <w:t xml:space="preserve"> due process and equal protection clauses of the Fourteenth Amendment require t</w:t>
      </w:r>
      <w:r w:rsidR="00656A23">
        <w:rPr>
          <w:rFonts w:ascii="Century Schoolbook" w:eastAsia="Bookman Old Style" w:hAnsi="Century Schoolbook"/>
          <w:b w:val="0"/>
          <w:sz w:val="24"/>
          <w:szCs w:val="24"/>
        </w:rPr>
        <w:t>he</w:t>
      </w:r>
      <w:r w:rsidR="00386A00" w:rsidRPr="006F5709">
        <w:rPr>
          <w:rFonts w:ascii="Century Schoolbook" w:eastAsia="Bookman Old Style" w:hAnsi="Century Schoolbook"/>
          <w:b w:val="0"/>
          <w:sz w:val="24"/>
          <w:szCs w:val="24"/>
        </w:rPr>
        <w:t xml:space="preserve"> court to make certain findings</w:t>
      </w:r>
      <w:r w:rsidR="00E87D4A">
        <w:rPr>
          <w:rFonts w:ascii="Century Schoolbook" w:eastAsia="Bookman Old Style" w:hAnsi="Century Schoolbook"/>
          <w:b w:val="0"/>
          <w:sz w:val="24"/>
          <w:szCs w:val="24"/>
        </w:rPr>
        <w:t>,</w:t>
      </w:r>
      <w:r w:rsidR="00350AF1" w:rsidRPr="006F5709">
        <w:rPr>
          <w:rFonts w:ascii="Century Schoolbook" w:eastAsia="Bookman Old Style" w:hAnsi="Century Schoolbook"/>
          <w:b w:val="0"/>
          <w:sz w:val="24"/>
          <w:szCs w:val="24"/>
        </w:rPr>
        <w:t xml:space="preserve"> </w:t>
      </w:r>
      <w:r w:rsidR="00D528B2" w:rsidRPr="006F5709">
        <w:rPr>
          <w:rFonts w:ascii="Century Schoolbook" w:eastAsia="Bookman Old Style" w:hAnsi="Century Schoolbook"/>
          <w:b w:val="0"/>
          <w:sz w:val="24"/>
          <w:szCs w:val="24"/>
        </w:rPr>
        <w:t xml:space="preserve">including </w:t>
      </w:r>
      <w:r w:rsidR="00E54686" w:rsidRPr="006F5709">
        <w:rPr>
          <w:rFonts w:ascii="Century Schoolbook" w:eastAsia="Bookman Old Style" w:hAnsi="Century Schoolbook"/>
          <w:b w:val="0"/>
          <w:sz w:val="24"/>
          <w:szCs w:val="24"/>
        </w:rPr>
        <w:t xml:space="preserve">a </w:t>
      </w:r>
      <w:r w:rsidR="004B4E14" w:rsidRPr="006F5709">
        <w:rPr>
          <w:rFonts w:ascii="Century Schoolbook" w:eastAsia="Bookman Old Style" w:hAnsi="Century Schoolbook"/>
          <w:b w:val="0"/>
          <w:sz w:val="24"/>
          <w:szCs w:val="24"/>
        </w:rPr>
        <w:t>defendant’s ability to pay and alternative, non-</w:t>
      </w:r>
      <w:r w:rsidR="00E54686" w:rsidRPr="006F5709">
        <w:rPr>
          <w:rFonts w:ascii="Century Schoolbook" w:eastAsia="Bookman Old Style" w:hAnsi="Century Schoolbook"/>
          <w:b w:val="0"/>
          <w:sz w:val="24"/>
          <w:szCs w:val="24"/>
        </w:rPr>
        <w:t>financial conditions of release</w:t>
      </w:r>
      <w:r w:rsidR="00350AF1" w:rsidRPr="006F5709">
        <w:rPr>
          <w:rFonts w:ascii="Century Schoolbook" w:eastAsia="Bookman Old Style" w:hAnsi="Century Schoolbook"/>
          <w:b w:val="0"/>
          <w:sz w:val="24"/>
          <w:szCs w:val="24"/>
        </w:rPr>
        <w:t xml:space="preserve"> </w:t>
      </w:r>
      <w:r w:rsidR="00386A00" w:rsidRPr="006F5709">
        <w:rPr>
          <w:rFonts w:ascii="Century Schoolbook" w:eastAsia="Bookman Old Style" w:hAnsi="Century Schoolbook"/>
          <w:b w:val="0"/>
          <w:sz w:val="24"/>
          <w:szCs w:val="24"/>
        </w:rPr>
        <w:t>with a heightened evidentiary standard before ordering release conditioned on payment of money bail</w:t>
      </w:r>
      <w:r w:rsidR="004B4E14" w:rsidRPr="006F5709">
        <w:rPr>
          <w:rFonts w:ascii="Century Schoolbook" w:eastAsia="Bookman Old Style" w:hAnsi="Century Schoolbook"/>
          <w:b w:val="0"/>
          <w:sz w:val="24"/>
          <w:szCs w:val="24"/>
        </w:rPr>
        <w:t xml:space="preserve"> to address flight risk concerns</w:t>
      </w:r>
      <w:r w:rsidR="00386A00" w:rsidRPr="006F5709">
        <w:rPr>
          <w:rFonts w:ascii="Century Schoolbook" w:eastAsia="Bookman Old Style" w:hAnsi="Century Schoolbook"/>
          <w:b w:val="0"/>
          <w:sz w:val="24"/>
          <w:szCs w:val="24"/>
        </w:rPr>
        <w:t>.</w:t>
      </w:r>
      <w:r w:rsidR="004B4E14" w:rsidRPr="006F5709">
        <w:rPr>
          <w:rStyle w:val="FootnoteReference"/>
          <w:rFonts w:ascii="Century Schoolbook" w:eastAsia="Bookman Old Style" w:hAnsi="Century Schoolbook"/>
          <w:b w:val="0"/>
          <w:sz w:val="24"/>
          <w:szCs w:val="24"/>
        </w:rPr>
        <w:footnoteReference w:id="14"/>
      </w:r>
      <w:r w:rsidR="00386A00" w:rsidRPr="006F5709">
        <w:rPr>
          <w:rFonts w:ascii="Century Schoolbook" w:eastAsia="Bookman Old Style" w:hAnsi="Century Schoolbook"/>
          <w:b w:val="0"/>
          <w:sz w:val="24"/>
          <w:szCs w:val="24"/>
        </w:rPr>
        <w:t xml:space="preserve"> Where the court’s concern is public safety, the court </w:t>
      </w:r>
      <w:r w:rsidR="00C556C7" w:rsidRPr="006F5709">
        <w:rPr>
          <w:rFonts w:ascii="Century Schoolbook" w:eastAsia="Bookman Old Style" w:hAnsi="Century Schoolbook"/>
          <w:b w:val="0"/>
          <w:sz w:val="24"/>
          <w:szCs w:val="24"/>
        </w:rPr>
        <w:t>should</w:t>
      </w:r>
      <w:r w:rsidR="00386A00" w:rsidRPr="006F5709">
        <w:rPr>
          <w:rFonts w:ascii="Century Schoolbook" w:eastAsia="Bookman Old Style" w:hAnsi="Century Schoolbook"/>
          <w:b w:val="0"/>
          <w:sz w:val="24"/>
          <w:szCs w:val="24"/>
        </w:rPr>
        <w:t xml:space="preserve"> either order the defendant detained after making the required findings</w:t>
      </w:r>
      <w:r w:rsidR="002871EB" w:rsidRPr="006F5709">
        <w:rPr>
          <w:rFonts w:ascii="Century Schoolbook" w:eastAsia="Bookman Old Style" w:hAnsi="Century Schoolbook"/>
          <w:b w:val="0"/>
          <w:sz w:val="24"/>
          <w:szCs w:val="24"/>
        </w:rPr>
        <w:t xml:space="preserve"> under article I, section 12</w:t>
      </w:r>
      <w:r w:rsidR="00386A00" w:rsidRPr="006F5709">
        <w:rPr>
          <w:rFonts w:ascii="Century Schoolbook" w:eastAsia="Bookman Old Style" w:hAnsi="Century Schoolbook"/>
          <w:b w:val="0"/>
          <w:sz w:val="24"/>
          <w:szCs w:val="24"/>
        </w:rPr>
        <w:t>, or require appropriate, non-financial conditions of release.</w:t>
      </w:r>
      <w:r w:rsidR="00386A00" w:rsidRPr="006F5709">
        <w:rPr>
          <w:rFonts w:ascii="Century Schoolbook" w:eastAsia="Bookman Old Style" w:hAnsi="Century Schoolbook"/>
          <w:b w:val="0"/>
          <w:sz w:val="24"/>
          <w:szCs w:val="24"/>
          <w:vertAlign w:val="superscript"/>
        </w:rPr>
        <w:footnoteReference w:id="15"/>
      </w:r>
    </w:p>
    <w:p w14:paraId="45C616F3" w14:textId="011B9BA4" w:rsidR="008D4190" w:rsidRPr="003E7704" w:rsidRDefault="009A2365" w:rsidP="003E7704">
      <w:pPr>
        <w:pStyle w:val="Title"/>
        <w:numPr>
          <w:ilvl w:val="0"/>
          <w:numId w:val="0"/>
        </w:numPr>
        <w:spacing w:line="360" w:lineRule="auto"/>
        <w:jc w:val="left"/>
        <w:rPr>
          <w:rFonts w:ascii="Century Schoolbook" w:eastAsia="Bookman Old Style" w:hAnsi="Century Schoolbook"/>
          <w:b w:val="0"/>
          <w:sz w:val="24"/>
          <w:szCs w:val="24"/>
        </w:rPr>
      </w:pPr>
      <w:r w:rsidRPr="006F5709">
        <w:rPr>
          <w:rFonts w:ascii="Century Schoolbook" w:eastAsia="Bookman Old Style" w:hAnsi="Century Schoolbook"/>
          <w:b w:val="0"/>
          <w:sz w:val="24"/>
          <w:szCs w:val="24"/>
        </w:rPr>
        <w:lastRenderedPageBreak/>
        <w:t xml:space="preserve">     Here, t</w:t>
      </w:r>
      <w:r w:rsidR="00386A00" w:rsidRPr="006F5709">
        <w:rPr>
          <w:rFonts w:ascii="Century Schoolbook" w:eastAsia="Bookman Old Style" w:hAnsi="Century Schoolbook"/>
          <w:b w:val="0"/>
          <w:sz w:val="24"/>
          <w:szCs w:val="24"/>
        </w:rPr>
        <w:t xml:space="preserve">his court should find that the requirements for pretrial detention are not met and order </w:t>
      </w:r>
      <w:r w:rsidR="002871EB" w:rsidRPr="006F5709">
        <w:rPr>
          <w:rFonts w:ascii="Century Schoolbook" w:eastAsia="Bookman Old Style" w:hAnsi="Century Schoolbook"/>
          <w:b w:val="0"/>
          <w:sz w:val="24"/>
          <w:szCs w:val="24"/>
          <w:highlight w:val="yellow"/>
        </w:rPr>
        <w:t>_______</w:t>
      </w:r>
      <w:r w:rsidR="002871EB" w:rsidRPr="006F5709">
        <w:rPr>
          <w:rFonts w:ascii="Century Schoolbook" w:eastAsia="Bookman Old Style" w:hAnsi="Century Schoolbook"/>
          <w:b w:val="0"/>
          <w:sz w:val="24"/>
          <w:szCs w:val="24"/>
        </w:rPr>
        <w:t xml:space="preserve"> </w:t>
      </w:r>
      <w:r w:rsidR="00386A00" w:rsidRPr="006F5709">
        <w:rPr>
          <w:rFonts w:ascii="Century Schoolbook" w:eastAsia="Bookman Old Style" w:hAnsi="Century Schoolbook"/>
          <w:b w:val="0"/>
          <w:sz w:val="24"/>
          <w:szCs w:val="24"/>
        </w:rPr>
        <w:t>release</w:t>
      </w:r>
      <w:r w:rsidR="002871EB" w:rsidRPr="006F5709">
        <w:rPr>
          <w:rFonts w:ascii="Century Schoolbook" w:eastAsia="Bookman Old Style" w:hAnsi="Century Schoolbook"/>
          <w:b w:val="0"/>
          <w:sz w:val="24"/>
          <w:szCs w:val="24"/>
        </w:rPr>
        <w:t>d</w:t>
      </w:r>
      <w:r w:rsidR="00386A00" w:rsidRPr="006F5709">
        <w:rPr>
          <w:rFonts w:ascii="Century Schoolbook" w:eastAsia="Bookman Old Style" w:hAnsi="Century Schoolbook"/>
          <w:b w:val="0"/>
          <w:sz w:val="24"/>
          <w:szCs w:val="24"/>
        </w:rPr>
        <w:t xml:space="preserve"> either</w:t>
      </w:r>
      <w:r w:rsidR="00D34962" w:rsidRPr="006F5709">
        <w:rPr>
          <w:rFonts w:ascii="Century Schoolbook" w:eastAsia="Bookman Old Style" w:hAnsi="Century Schoolbook"/>
          <w:b w:val="0"/>
          <w:sz w:val="24"/>
          <w:szCs w:val="24"/>
        </w:rPr>
        <w:t xml:space="preserve"> on </w:t>
      </w:r>
      <w:r w:rsidR="002871EB" w:rsidRPr="006F5709">
        <w:rPr>
          <w:rFonts w:ascii="Century Schoolbook" w:eastAsia="Bookman Old Style" w:hAnsi="Century Schoolbook"/>
          <w:b w:val="0"/>
          <w:sz w:val="24"/>
          <w:szCs w:val="24"/>
          <w:highlight w:val="yellow"/>
        </w:rPr>
        <w:t>his/her</w:t>
      </w:r>
      <w:r w:rsidR="00933D93" w:rsidRPr="00933D93">
        <w:rPr>
          <w:rFonts w:ascii="Century Schoolbook" w:eastAsia="Bookman Old Style" w:hAnsi="Century Schoolbook"/>
          <w:b w:val="0"/>
          <w:sz w:val="24"/>
          <w:szCs w:val="24"/>
          <w:highlight w:val="yellow"/>
        </w:rPr>
        <w:t>/their</w:t>
      </w:r>
      <w:r w:rsidR="00D34962" w:rsidRPr="006F5709">
        <w:rPr>
          <w:rFonts w:ascii="Century Schoolbook" w:eastAsia="Bookman Old Style" w:hAnsi="Century Schoolbook"/>
          <w:b w:val="0"/>
          <w:sz w:val="24"/>
          <w:szCs w:val="24"/>
        </w:rPr>
        <w:t xml:space="preserve"> </w:t>
      </w:r>
      <w:r w:rsidR="00386A00" w:rsidRPr="006F5709">
        <w:rPr>
          <w:rFonts w:ascii="Century Schoolbook" w:eastAsia="Bookman Old Style" w:hAnsi="Century Schoolbook"/>
          <w:b w:val="0"/>
          <w:sz w:val="24"/>
          <w:szCs w:val="24"/>
        </w:rPr>
        <w:t>own recognizance or on appropriate, narrowly tailored conditions.</w:t>
      </w:r>
    </w:p>
    <w:p w14:paraId="13F63B22" w14:textId="0E451D53" w:rsidR="00386A00" w:rsidRPr="006F5709" w:rsidRDefault="00386A00" w:rsidP="00C35CDB">
      <w:pPr>
        <w:pStyle w:val="Heading1"/>
        <w:numPr>
          <w:ilvl w:val="1"/>
          <w:numId w:val="21"/>
        </w:numPr>
        <w:pBdr>
          <w:top w:val="nil"/>
          <w:left w:val="nil"/>
          <w:bottom w:val="nil"/>
          <w:right w:val="nil"/>
          <w:between w:val="nil"/>
        </w:pBdr>
        <w:spacing w:after="240" w:line="240" w:lineRule="auto"/>
        <w:ind w:left="360" w:hanging="360"/>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When setting money bail, the court </w:t>
      </w:r>
      <w:r w:rsidR="00B816E4" w:rsidRPr="006F5709">
        <w:rPr>
          <w:rFonts w:ascii="Century Schoolbook" w:eastAsia="Bookman Old Style" w:hAnsi="Century Schoolbook"/>
          <w:sz w:val="24"/>
          <w:szCs w:val="24"/>
        </w:rPr>
        <w:t>should</w:t>
      </w:r>
      <w:r w:rsidRPr="006F5709">
        <w:rPr>
          <w:rFonts w:ascii="Century Schoolbook" w:eastAsia="Bookman Old Style" w:hAnsi="Century Schoolbook"/>
          <w:sz w:val="24"/>
          <w:szCs w:val="24"/>
        </w:rPr>
        <w:t xml:space="preserve"> make findings regarding </w:t>
      </w:r>
      <w:r w:rsidR="009A2365" w:rsidRPr="006F5709">
        <w:rPr>
          <w:rFonts w:ascii="Century Schoolbook" w:eastAsia="Bookman Old Style" w:hAnsi="Century Schoolbook"/>
          <w:sz w:val="24"/>
          <w:szCs w:val="24"/>
          <w:highlight w:val="yellow"/>
        </w:rPr>
        <w:t>______</w:t>
      </w:r>
      <w:r w:rsidR="009A2365" w:rsidRPr="006F5709">
        <w:rPr>
          <w:rFonts w:ascii="Century Schoolbook" w:eastAsia="Bookman Old Style" w:hAnsi="Century Schoolbook"/>
          <w:sz w:val="24"/>
          <w:szCs w:val="24"/>
        </w:rPr>
        <w:t>’s</w:t>
      </w:r>
      <w:r w:rsidRPr="006F5709">
        <w:rPr>
          <w:rFonts w:ascii="Century Schoolbook" w:eastAsia="Bookman Old Style" w:hAnsi="Century Schoolbook"/>
          <w:sz w:val="24"/>
          <w:szCs w:val="24"/>
        </w:rPr>
        <w:t xml:space="preserve"> ability to pay and non-financial alternative conditions of release that focus on court attendance.</w:t>
      </w:r>
    </w:p>
    <w:p w14:paraId="684735E1" w14:textId="2361EAE1" w:rsidR="00386A00" w:rsidRPr="006F5709" w:rsidRDefault="00350AF1" w:rsidP="00583A1B">
      <w:pPr>
        <w:spacing w:line="360" w:lineRule="auto"/>
        <w:rPr>
          <w:rFonts w:eastAsia="Bookman Old Style"/>
          <w:szCs w:val="24"/>
          <w:highlight w:val="white"/>
        </w:rPr>
      </w:pPr>
      <w:r w:rsidRPr="006F5709">
        <w:rPr>
          <w:rFonts w:eastAsia="Bookman Old Style"/>
          <w:szCs w:val="24"/>
          <w:highlight w:val="white"/>
        </w:rPr>
        <w:t>T</w:t>
      </w:r>
      <w:r w:rsidR="00386A00" w:rsidRPr="006F5709">
        <w:rPr>
          <w:rFonts w:eastAsia="Bookman Old Style"/>
          <w:szCs w:val="24"/>
          <w:highlight w:val="white"/>
        </w:rPr>
        <w:t xml:space="preserve">he court </w:t>
      </w:r>
      <w:r w:rsidR="00B816E4" w:rsidRPr="006F5709">
        <w:rPr>
          <w:rFonts w:eastAsia="Bookman Old Style"/>
          <w:szCs w:val="24"/>
          <w:highlight w:val="white"/>
        </w:rPr>
        <w:t>should</w:t>
      </w:r>
      <w:r w:rsidR="00386A00" w:rsidRPr="006F5709">
        <w:rPr>
          <w:rFonts w:eastAsia="Bookman Old Style"/>
          <w:szCs w:val="24"/>
          <w:highlight w:val="white"/>
        </w:rPr>
        <w:t xml:space="preserve"> make certain findings to ensure that the financial condition</w:t>
      </w:r>
      <w:r w:rsidRPr="006F5709">
        <w:rPr>
          <w:rFonts w:eastAsia="Bookman Old Style"/>
          <w:szCs w:val="24"/>
          <w:highlight w:val="white"/>
        </w:rPr>
        <w:t xml:space="preserve"> of release</w:t>
      </w:r>
      <w:r w:rsidR="00386A00" w:rsidRPr="006F5709">
        <w:rPr>
          <w:rFonts w:eastAsia="Bookman Old Style"/>
          <w:szCs w:val="24"/>
          <w:highlight w:val="white"/>
        </w:rPr>
        <w:t xml:space="preserve"> does not result in detention solely </w:t>
      </w:r>
      <w:r w:rsidR="00D277BA" w:rsidRPr="006F5709">
        <w:rPr>
          <w:rFonts w:eastAsia="Bookman Old Style"/>
          <w:szCs w:val="24"/>
          <w:highlight w:val="white"/>
        </w:rPr>
        <w:t xml:space="preserve">based on </w:t>
      </w:r>
      <w:r w:rsidR="00386A00" w:rsidRPr="006F5709">
        <w:rPr>
          <w:rFonts w:eastAsia="Bookman Old Style"/>
          <w:szCs w:val="24"/>
          <w:highlight w:val="white"/>
        </w:rPr>
        <w:t xml:space="preserve">wealth. </w:t>
      </w:r>
      <w:r w:rsidR="00BB41A2">
        <w:rPr>
          <w:rFonts w:eastAsia="Bookman Old Style"/>
          <w:szCs w:val="24"/>
        </w:rPr>
        <w:t xml:space="preserve">The </w:t>
      </w:r>
      <w:r w:rsidR="00BB41A2" w:rsidRPr="00583A1B">
        <w:rPr>
          <w:rFonts w:eastAsia="Bookman Old Style"/>
          <w:i/>
          <w:iCs/>
          <w:szCs w:val="24"/>
        </w:rPr>
        <w:t>Humphrey</w:t>
      </w:r>
      <w:r w:rsidR="00BB41A2">
        <w:rPr>
          <w:rFonts w:eastAsia="Bookman Old Style"/>
          <w:szCs w:val="24"/>
        </w:rPr>
        <w:t xml:space="preserve"> court held that “</w:t>
      </w:r>
      <w:r w:rsidR="00BB41A2" w:rsidRPr="00BB41A2">
        <w:rPr>
          <w:rFonts w:eastAsia="Bookman Old Style"/>
          <w:szCs w:val="24"/>
        </w:rPr>
        <w:t>pretrial detention</w:t>
      </w:r>
      <w:r w:rsidR="00BB41A2">
        <w:rPr>
          <w:rFonts w:eastAsia="Bookman Old Style"/>
          <w:szCs w:val="24"/>
        </w:rPr>
        <w:t>…</w:t>
      </w:r>
      <w:r w:rsidR="00BB41A2" w:rsidRPr="00BB41A2">
        <w:rPr>
          <w:rFonts w:eastAsia="Bookman Old Style"/>
          <w:szCs w:val="24"/>
        </w:rPr>
        <w:t>is impermissible unless no less restrictive conditions of release can adequately vindicate the state's compelling interests.</w:t>
      </w:r>
      <w:r w:rsidR="00BB41A2">
        <w:rPr>
          <w:rFonts w:eastAsia="Bookman Old Style"/>
          <w:szCs w:val="24"/>
        </w:rPr>
        <w:t>”</w:t>
      </w:r>
      <w:r w:rsidR="00076E78">
        <w:rPr>
          <w:rStyle w:val="FootnoteReference"/>
          <w:rFonts w:eastAsia="Bookman Old Style"/>
          <w:szCs w:val="24"/>
        </w:rPr>
        <w:footnoteReference w:id="16"/>
      </w:r>
    </w:p>
    <w:p w14:paraId="0EEAF13A" w14:textId="45E4A909" w:rsidR="00386A00" w:rsidRPr="006F5709" w:rsidRDefault="0002614B" w:rsidP="00850DFF">
      <w:pPr>
        <w:pStyle w:val="Heading2"/>
        <w:numPr>
          <w:ilvl w:val="0"/>
          <w:numId w:val="0"/>
        </w:numPr>
        <w:spacing w:line="360" w:lineRule="auto"/>
        <w:ind w:left="360"/>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A. </w:t>
      </w:r>
      <w:r w:rsidR="00640EB8" w:rsidRPr="006F5709">
        <w:rPr>
          <w:rFonts w:ascii="Century Schoolbook" w:eastAsia="Bookman Old Style" w:hAnsi="Century Schoolbook"/>
          <w:sz w:val="24"/>
          <w:szCs w:val="24"/>
          <w:highlight w:val="yellow"/>
        </w:rPr>
        <w:t>______</w:t>
      </w:r>
      <w:r w:rsidR="00640EB8" w:rsidRPr="006F5709">
        <w:rPr>
          <w:rFonts w:ascii="Century Schoolbook" w:eastAsia="Bookman Old Style" w:hAnsi="Century Schoolbook"/>
          <w:sz w:val="24"/>
          <w:szCs w:val="24"/>
        </w:rPr>
        <w:t xml:space="preserve"> </w:t>
      </w:r>
      <w:r w:rsidR="00386A00" w:rsidRPr="006F5709">
        <w:rPr>
          <w:rFonts w:ascii="Century Schoolbook" w:eastAsia="Bookman Old Style" w:hAnsi="Century Schoolbook"/>
          <w:color w:val="000000"/>
          <w:sz w:val="24"/>
          <w:szCs w:val="24"/>
        </w:rPr>
        <w:t>does not have the ability to</w:t>
      </w:r>
      <w:r w:rsidR="00D277BA" w:rsidRPr="006F5709">
        <w:rPr>
          <w:rFonts w:ascii="Century Schoolbook" w:eastAsia="Bookman Old Style" w:hAnsi="Century Schoolbook"/>
          <w:color w:val="000000"/>
          <w:sz w:val="24"/>
          <w:szCs w:val="24"/>
        </w:rPr>
        <w:t xml:space="preserve"> </w:t>
      </w:r>
      <w:r w:rsidR="00386A00" w:rsidRPr="006F5709">
        <w:rPr>
          <w:rFonts w:ascii="Century Schoolbook" w:eastAsia="Bookman Old Style" w:hAnsi="Century Schoolbook"/>
          <w:sz w:val="24"/>
          <w:szCs w:val="24"/>
        </w:rPr>
        <w:t>pay bail</w:t>
      </w:r>
      <w:r w:rsidR="001363F3" w:rsidRPr="006F5709">
        <w:rPr>
          <w:rFonts w:ascii="Century Schoolbook" w:eastAsia="Bookman Old Style" w:hAnsi="Century Schoolbook"/>
          <w:sz w:val="24"/>
          <w:szCs w:val="24"/>
        </w:rPr>
        <w:t xml:space="preserve"> as now</w:t>
      </w:r>
      <w:r w:rsidR="00386A00" w:rsidRPr="006F5709">
        <w:rPr>
          <w:rFonts w:ascii="Century Schoolbook" w:eastAsia="Bookman Old Style" w:hAnsi="Century Schoolbook"/>
          <w:sz w:val="24"/>
          <w:szCs w:val="24"/>
        </w:rPr>
        <w:t xml:space="preserve"> set.</w:t>
      </w:r>
    </w:p>
    <w:p w14:paraId="6634F48B" w14:textId="742F7E85" w:rsidR="00386A00" w:rsidRPr="006F5709" w:rsidRDefault="00E54686" w:rsidP="003E7704">
      <w:pPr>
        <w:spacing w:line="360" w:lineRule="auto"/>
        <w:rPr>
          <w:rFonts w:eastAsia="Bookman Old Style"/>
          <w:szCs w:val="24"/>
          <w:highlight w:val="white"/>
        </w:rPr>
      </w:pPr>
      <w:r w:rsidRPr="006F5709">
        <w:rPr>
          <w:rFonts w:eastAsia="Bookman Old Style"/>
          <w:szCs w:val="24"/>
          <w:highlight w:val="white"/>
        </w:rPr>
        <w:t>The</w:t>
      </w:r>
      <w:r w:rsidR="00386A00" w:rsidRPr="006F5709">
        <w:rPr>
          <w:rFonts w:eastAsia="Bookman Old Style"/>
          <w:szCs w:val="24"/>
          <w:highlight w:val="white"/>
        </w:rPr>
        <w:t xml:space="preserve"> court </w:t>
      </w:r>
      <w:r w:rsidR="00D35997" w:rsidRPr="006F5709">
        <w:rPr>
          <w:rFonts w:eastAsia="Bookman Old Style"/>
          <w:szCs w:val="24"/>
          <w:highlight w:val="white"/>
        </w:rPr>
        <w:t>should</w:t>
      </w:r>
      <w:r w:rsidR="00386A00" w:rsidRPr="006F5709">
        <w:rPr>
          <w:rFonts w:eastAsia="Bookman Old Style"/>
          <w:szCs w:val="24"/>
          <w:highlight w:val="white"/>
        </w:rPr>
        <w:t xml:space="preserve"> determine whether </w:t>
      </w:r>
      <w:r w:rsidRPr="006F5709">
        <w:rPr>
          <w:rFonts w:eastAsia="Bookman Old Style"/>
          <w:szCs w:val="24"/>
          <w:highlight w:val="white"/>
        </w:rPr>
        <w:t xml:space="preserve">a financial </w:t>
      </w:r>
      <w:r w:rsidR="00386A00" w:rsidRPr="006F5709">
        <w:rPr>
          <w:rFonts w:eastAsia="Bookman Old Style"/>
          <w:szCs w:val="24"/>
          <w:highlight w:val="white"/>
        </w:rPr>
        <w:t xml:space="preserve">condition of </w:t>
      </w:r>
      <w:r w:rsidRPr="006F5709">
        <w:rPr>
          <w:rFonts w:eastAsia="Bookman Old Style"/>
          <w:szCs w:val="24"/>
          <w:highlight w:val="white"/>
        </w:rPr>
        <w:t xml:space="preserve">pretrial </w:t>
      </w:r>
      <w:r w:rsidR="00386A00" w:rsidRPr="006F5709">
        <w:rPr>
          <w:rFonts w:eastAsia="Bookman Old Style"/>
          <w:szCs w:val="24"/>
          <w:highlight w:val="white"/>
        </w:rPr>
        <w:t xml:space="preserve">release </w:t>
      </w:r>
      <w:r w:rsidR="00D277BA" w:rsidRPr="006F5709">
        <w:rPr>
          <w:rFonts w:eastAsia="Bookman Old Style"/>
          <w:szCs w:val="24"/>
          <w:highlight w:val="white"/>
        </w:rPr>
        <w:t>will cause</w:t>
      </w:r>
      <w:r w:rsidR="00640EB8" w:rsidRPr="006F5709">
        <w:rPr>
          <w:rFonts w:eastAsia="Bookman Old Style"/>
          <w:szCs w:val="24"/>
          <w:highlight w:val="white"/>
        </w:rPr>
        <w:t xml:space="preserve"> </w:t>
      </w:r>
      <w:r w:rsidR="00640EB8" w:rsidRPr="006F5709">
        <w:rPr>
          <w:rFonts w:eastAsia="Bookman Old Style"/>
          <w:szCs w:val="24"/>
          <w:highlight w:val="yellow"/>
        </w:rPr>
        <w:t>______</w:t>
      </w:r>
      <w:r w:rsidR="00640EB8" w:rsidRPr="006F5709">
        <w:rPr>
          <w:rFonts w:eastAsia="Bookman Old Style"/>
          <w:szCs w:val="24"/>
          <w:highlight w:val="white"/>
        </w:rPr>
        <w:t>’s</w:t>
      </w:r>
      <w:r w:rsidR="00386A00" w:rsidRPr="006F5709">
        <w:rPr>
          <w:rFonts w:eastAsia="Bookman Old Style"/>
          <w:szCs w:val="24"/>
          <w:highlight w:val="white"/>
        </w:rPr>
        <w:t xml:space="preserve"> detention because of </w:t>
      </w:r>
      <w:r w:rsidR="00640EB8" w:rsidRPr="00933D93">
        <w:rPr>
          <w:rFonts w:eastAsia="Bookman Old Style"/>
          <w:szCs w:val="24"/>
          <w:highlight w:val="yellow"/>
        </w:rPr>
        <w:t>his</w:t>
      </w:r>
      <w:r w:rsidR="00933D93" w:rsidRPr="00933D93">
        <w:rPr>
          <w:rFonts w:eastAsia="Bookman Old Style"/>
          <w:szCs w:val="24"/>
          <w:highlight w:val="yellow"/>
        </w:rPr>
        <w:t>/her/their</w:t>
      </w:r>
      <w:r w:rsidR="00640EB8" w:rsidRPr="006F5709">
        <w:rPr>
          <w:rFonts w:eastAsia="Bookman Old Style"/>
          <w:szCs w:val="24"/>
          <w:highlight w:val="white"/>
        </w:rPr>
        <w:t xml:space="preserve"> </w:t>
      </w:r>
      <w:r w:rsidR="00386A00" w:rsidRPr="006F5709">
        <w:rPr>
          <w:rFonts w:eastAsia="Bookman Old Style"/>
          <w:szCs w:val="24"/>
          <w:highlight w:val="white"/>
        </w:rPr>
        <w:t xml:space="preserve">inability to pay. </w:t>
      </w:r>
      <w:r w:rsidR="00125576" w:rsidRPr="006F5709">
        <w:rPr>
          <w:rFonts w:eastAsia="Bookman Old Style"/>
          <w:szCs w:val="24"/>
        </w:rPr>
        <w:t>Here, bail is set at $</w:t>
      </w:r>
      <w:r w:rsidR="00125576" w:rsidRPr="006F5709">
        <w:rPr>
          <w:rFonts w:eastAsia="Bookman Old Style"/>
          <w:szCs w:val="24"/>
          <w:highlight w:val="yellow"/>
        </w:rPr>
        <w:t>_____</w:t>
      </w:r>
      <w:r w:rsidR="00640EB8" w:rsidRPr="006F5709">
        <w:rPr>
          <w:rFonts w:eastAsia="Bookman Old Style"/>
          <w:szCs w:val="24"/>
        </w:rPr>
        <w:t xml:space="preserve"> which </w:t>
      </w:r>
      <w:r w:rsidR="00640EB8" w:rsidRPr="006F5709">
        <w:rPr>
          <w:rFonts w:eastAsia="Bookman Old Style"/>
          <w:szCs w:val="24"/>
          <w:highlight w:val="yellow"/>
        </w:rPr>
        <w:t>______</w:t>
      </w:r>
      <w:r w:rsidR="00640EB8" w:rsidRPr="006F5709">
        <w:rPr>
          <w:rFonts w:eastAsia="Bookman Old Style"/>
          <w:szCs w:val="24"/>
        </w:rPr>
        <w:t xml:space="preserve"> cannot afford to pay.</w:t>
      </w:r>
      <w:r w:rsidR="00125576" w:rsidRPr="006F5709">
        <w:rPr>
          <w:rFonts w:eastAsia="Bookman Old Style"/>
          <w:szCs w:val="24"/>
        </w:rPr>
        <w:t xml:space="preserve"> </w:t>
      </w:r>
    </w:p>
    <w:p w14:paraId="2AFBA7B8" w14:textId="60C10751" w:rsidR="001E4D81" w:rsidRPr="006F5709" w:rsidRDefault="00640EB8" w:rsidP="003E7704">
      <w:pPr>
        <w:spacing w:line="360" w:lineRule="auto"/>
        <w:rPr>
          <w:rFonts w:eastAsia="Bookman Old Style"/>
          <w:szCs w:val="24"/>
        </w:rPr>
      </w:pPr>
      <w:r w:rsidRPr="006F5709">
        <w:rPr>
          <w:rFonts w:eastAsia="Bookman Old Style"/>
          <w:szCs w:val="24"/>
          <w:highlight w:val="yellow"/>
        </w:rPr>
        <w:t>_______</w:t>
      </w:r>
      <w:r w:rsidR="00386A00" w:rsidRPr="006F5709">
        <w:rPr>
          <w:rFonts w:eastAsia="Bookman Old Style"/>
          <w:szCs w:val="24"/>
        </w:rPr>
        <w:t xml:space="preserve"> is indigent. </w:t>
      </w:r>
      <w:r w:rsidR="00541232">
        <w:rPr>
          <w:rFonts w:eastAsia="Bookman Old Style"/>
          <w:szCs w:val="24"/>
          <w:highlight w:val="yellow"/>
        </w:rPr>
        <w:t>He/she/they</w:t>
      </w:r>
      <w:r w:rsidR="00386A00" w:rsidRPr="006F5709">
        <w:rPr>
          <w:rFonts w:eastAsia="Bookman Old Style"/>
          <w:szCs w:val="24"/>
          <w:highlight w:val="yellow"/>
        </w:rPr>
        <w:t xml:space="preserve"> is homeless/unemployed/works a job that pays minimum wage/supports family members/etc.</w:t>
      </w:r>
      <w:r w:rsidR="00386A00" w:rsidRPr="006F5709">
        <w:rPr>
          <w:rFonts w:eastAsia="Bookman Old Style"/>
          <w:szCs w:val="24"/>
        </w:rPr>
        <w:t xml:space="preserve">  Even a relatively small secured financial condition of release </w:t>
      </w:r>
      <w:r w:rsidR="00D277BA" w:rsidRPr="006F5709">
        <w:rPr>
          <w:rFonts w:eastAsia="Bookman Old Style"/>
          <w:szCs w:val="24"/>
        </w:rPr>
        <w:t>will cause</w:t>
      </w:r>
      <w:r w:rsidRPr="006F5709">
        <w:rPr>
          <w:rFonts w:eastAsia="Bookman Old Style"/>
          <w:szCs w:val="24"/>
        </w:rPr>
        <w:t xml:space="preserve"> </w:t>
      </w:r>
      <w:r w:rsidRPr="006F5709">
        <w:rPr>
          <w:rFonts w:eastAsia="Bookman Old Style"/>
          <w:szCs w:val="24"/>
          <w:highlight w:val="yellow"/>
        </w:rPr>
        <w:t>______</w:t>
      </w:r>
      <w:r w:rsidRPr="006F5709">
        <w:rPr>
          <w:rFonts w:eastAsia="Bookman Old Style"/>
          <w:szCs w:val="24"/>
        </w:rPr>
        <w:t>’s</w:t>
      </w:r>
      <w:r w:rsidR="00386A00" w:rsidRPr="006F5709">
        <w:rPr>
          <w:rFonts w:eastAsia="Bookman Old Style"/>
          <w:szCs w:val="24"/>
        </w:rPr>
        <w:t xml:space="preserve"> detention. </w:t>
      </w:r>
      <w:r w:rsidR="00D277BA" w:rsidRPr="006F5709">
        <w:rPr>
          <w:rFonts w:eastAsia="Bookman Old Style"/>
          <w:szCs w:val="24"/>
        </w:rPr>
        <w:t xml:space="preserve">The </w:t>
      </w:r>
      <w:r w:rsidR="00386A00" w:rsidRPr="006F5709">
        <w:rPr>
          <w:rFonts w:eastAsia="Bookman Old Style"/>
          <w:szCs w:val="24"/>
        </w:rPr>
        <w:t>court should release</w:t>
      </w:r>
      <w:r w:rsidRPr="006F5709">
        <w:rPr>
          <w:rFonts w:eastAsia="Bookman Old Style"/>
          <w:szCs w:val="24"/>
        </w:rPr>
        <w:t xml:space="preserve"> </w:t>
      </w:r>
      <w:r w:rsidRPr="006F5709">
        <w:rPr>
          <w:rFonts w:eastAsia="Bookman Old Style"/>
          <w:szCs w:val="24"/>
          <w:highlight w:val="yellow"/>
        </w:rPr>
        <w:t>_______</w:t>
      </w:r>
      <w:r w:rsidRPr="006F5709">
        <w:rPr>
          <w:rFonts w:eastAsia="Bookman Old Style"/>
          <w:szCs w:val="24"/>
        </w:rPr>
        <w:t xml:space="preserve"> </w:t>
      </w:r>
      <w:r w:rsidR="00386A00" w:rsidRPr="006F5709">
        <w:rPr>
          <w:rFonts w:eastAsia="Bookman Old Style"/>
          <w:szCs w:val="24"/>
        </w:rPr>
        <w:t xml:space="preserve">on non-financial conditions that will ensure </w:t>
      </w:r>
      <w:r w:rsidR="00541232">
        <w:rPr>
          <w:rFonts w:eastAsia="Bookman Old Style"/>
          <w:szCs w:val="24"/>
        </w:rPr>
        <w:t xml:space="preserve">return to </w:t>
      </w:r>
      <w:r w:rsidR="00386A00" w:rsidRPr="006F5709">
        <w:rPr>
          <w:rFonts w:eastAsia="Bookman Old Style"/>
          <w:szCs w:val="24"/>
        </w:rPr>
        <w:t>court.</w:t>
      </w:r>
    </w:p>
    <w:p w14:paraId="5479BD27" w14:textId="76C2B332" w:rsidR="00D3638A" w:rsidRPr="006F5709" w:rsidRDefault="00D3638A" w:rsidP="004B6B35">
      <w:pPr>
        <w:spacing w:line="360" w:lineRule="auto"/>
        <w:rPr>
          <w:rFonts w:eastAsia="Bookman Old Style"/>
          <w:szCs w:val="24"/>
        </w:rPr>
      </w:pPr>
      <w:r w:rsidRPr="006F5709">
        <w:rPr>
          <w:rFonts w:eastAsia="Bookman Old Style"/>
          <w:szCs w:val="24"/>
        </w:rPr>
        <w:t xml:space="preserve">Setting bail in a </w:t>
      </w:r>
      <w:r w:rsidR="00811FF3" w:rsidRPr="006F5709">
        <w:rPr>
          <w:rFonts w:eastAsia="Bookman Old Style"/>
          <w:szCs w:val="24"/>
        </w:rPr>
        <w:t>sum</w:t>
      </w:r>
      <w:r w:rsidRPr="006F5709">
        <w:rPr>
          <w:rFonts w:eastAsia="Bookman Old Style"/>
          <w:szCs w:val="24"/>
        </w:rPr>
        <w:t xml:space="preserve"> beyond </w:t>
      </w:r>
      <w:r w:rsidRPr="006F5709">
        <w:rPr>
          <w:rFonts w:eastAsia="Bookman Old Style"/>
          <w:szCs w:val="24"/>
          <w:highlight w:val="yellow"/>
        </w:rPr>
        <w:t>______</w:t>
      </w:r>
      <w:r w:rsidRPr="006F5709">
        <w:rPr>
          <w:rFonts w:eastAsia="Bookman Old Style"/>
          <w:szCs w:val="24"/>
        </w:rPr>
        <w:t>’s ability to pay functionally amounts to a no-bail detention</w:t>
      </w:r>
      <w:r w:rsidR="00911AE8" w:rsidRPr="006F5709">
        <w:rPr>
          <w:rFonts w:eastAsia="Bookman Old Style"/>
          <w:szCs w:val="24"/>
        </w:rPr>
        <w:t>.</w:t>
      </w:r>
      <w:r w:rsidR="00911AE8" w:rsidRPr="006F5709">
        <w:rPr>
          <w:rStyle w:val="FootnoteReference"/>
          <w:rFonts w:eastAsia="Bookman Old Style"/>
          <w:szCs w:val="24"/>
        </w:rPr>
        <w:footnoteReference w:id="17"/>
      </w:r>
      <w:r w:rsidRPr="006F5709">
        <w:rPr>
          <w:rFonts w:eastAsia="Bookman Old Style"/>
          <w:szCs w:val="24"/>
        </w:rPr>
        <w:t xml:space="preserve"> </w:t>
      </w:r>
      <w:r w:rsidR="00E214BD" w:rsidRPr="006F5709">
        <w:rPr>
          <w:rFonts w:eastAsia="Bookman Old Style"/>
          <w:szCs w:val="24"/>
        </w:rPr>
        <w:t>Doing so</w:t>
      </w:r>
      <w:r w:rsidR="00811FF3" w:rsidRPr="006F5709">
        <w:rPr>
          <w:rFonts w:eastAsia="Bookman Old Style"/>
          <w:szCs w:val="24"/>
        </w:rPr>
        <w:t xml:space="preserve"> </w:t>
      </w:r>
      <w:r w:rsidRPr="006F5709">
        <w:rPr>
          <w:rFonts w:eastAsia="Bookman Old Style"/>
          <w:szCs w:val="24"/>
        </w:rPr>
        <w:t>requires the court to make findings under the excep</w:t>
      </w:r>
      <w:r w:rsidRPr="006F5709">
        <w:rPr>
          <w:rFonts w:eastAsia="Bookman Old Style"/>
          <w:szCs w:val="24"/>
        </w:rPr>
        <w:lastRenderedPageBreak/>
        <w:t xml:space="preserve">tions to a right to bail in article I, section 12 of the California Constitution. Because </w:t>
      </w:r>
      <w:r w:rsidRPr="006F5709">
        <w:rPr>
          <w:rFonts w:eastAsia="Bookman Old Style"/>
          <w:szCs w:val="24"/>
          <w:highlight w:val="yellow"/>
        </w:rPr>
        <w:t>______</w:t>
      </w:r>
      <w:r w:rsidRPr="006F5709">
        <w:rPr>
          <w:rFonts w:eastAsia="Bookman Old Style"/>
          <w:szCs w:val="24"/>
        </w:rPr>
        <w:t xml:space="preserve">’s case does not come within any of those exceptions, </w:t>
      </w:r>
      <w:r w:rsidRPr="006F5709">
        <w:rPr>
          <w:rFonts w:eastAsia="Bookman Old Style"/>
          <w:szCs w:val="24"/>
          <w:highlight w:val="yellow"/>
        </w:rPr>
        <w:t>_______</w:t>
      </w:r>
      <w:r w:rsidRPr="006F5709">
        <w:rPr>
          <w:rFonts w:eastAsia="Bookman Old Style"/>
          <w:szCs w:val="24"/>
        </w:rPr>
        <w:t xml:space="preserve"> must be released on</w:t>
      </w:r>
      <w:r w:rsidR="00933D93">
        <w:rPr>
          <w:rFonts w:eastAsia="Bookman Old Style"/>
          <w:szCs w:val="24"/>
        </w:rPr>
        <w:t xml:space="preserve"> </w:t>
      </w:r>
      <w:r w:rsidR="00933D93">
        <w:rPr>
          <w:rFonts w:eastAsia="Bookman Old Style"/>
          <w:szCs w:val="24"/>
          <w:highlight w:val="yellow"/>
        </w:rPr>
        <w:t>his/her/their</w:t>
      </w:r>
      <w:r w:rsidRPr="006F5709">
        <w:rPr>
          <w:rFonts w:eastAsia="Bookman Old Style"/>
          <w:szCs w:val="24"/>
        </w:rPr>
        <w:t xml:space="preserve"> own recognizance or on bail </w:t>
      </w:r>
      <w:r w:rsidR="00933D93" w:rsidRPr="00933D93">
        <w:rPr>
          <w:rFonts w:eastAsia="Bookman Old Style"/>
          <w:szCs w:val="24"/>
          <w:highlight w:val="yellow"/>
        </w:rPr>
        <w:t>he/she/they</w:t>
      </w:r>
      <w:r w:rsidRPr="006F5709">
        <w:rPr>
          <w:rFonts w:eastAsia="Bookman Old Style"/>
          <w:szCs w:val="24"/>
        </w:rPr>
        <w:t xml:space="preserve"> can afford to pay. </w:t>
      </w:r>
    </w:p>
    <w:p w14:paraId="5A2F1B6C" w14:textId="77777777" w:rsidR="00386A00" w:rsidRPr="006F5709" w:rsidRDefault="001F286A" w:rsidP="00850DFF">
      <w:pPr>
        <w:pStyle w:val="Heading2"/>
        <w:numPr>
          <w:ilvl w:val="0"/>
          <w:numId w:val="0"/>
        </w:numPr>
        <w:spacing w:after="240" w:line="240" w:lineRule="auto"/>
        <w:ind w:left="720" w:hanging="360"/>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B. </w:t>
      </w:r>
      <w:r w:rsidR="00386A00" w:rsidRPr="006F5709">
        <w:rPr>
          <w:rFonts w:ascii="Century Schoolbook" w:eastAsia="Bookman Old Style" w:hAnsi="Century Schoolbook"/>
          <w:sz w:val="24"/>
          <w:szCs w:val="24"/>
        </w:rPr>
        <w:t>Less restrictive conditions of release are adequate to serve the government’s interests.</w:t>
      </w:r>
    </w:p>
    <w:p w14:paraId="5C3BDB72" w14:textId="3AF75CCA" w:rsidR="00386A00" w:rsidRPr="006F5709" w:rsidRDefault="00386A00" w:rsidP="003E7704">
      <w:pPr>
        <w:spacing w:line="360" w:lineRule="auto"/>
        <w:rPr>
          <w:rFonts w:eastAsia="Bookman Old Style"/>
          <w:szCs w:val="24"/>
          <w:highlight w:val="white"/>
        </w:rPr>
      </w:pPr>
      <w:r w:rsidRPr="006F5709">
        <w:rPr>
          <w:rFonts w:eastAsia="Bookman Old Style"/>
          <w:szCs w:val="24"/>
          <w:highlight w:val="white"/>
        </w:rPr>
        <w:t xml:space="preserve">“If the court concludes that a </w:t>
      </w:r>
      <w:r w:rsidR="000762BB" w:rsidRPr="006F5709">
        <w:rPr>
          <w:rFonts w:eastAsia="Bookman Old Style"/>
          <w:szCs w:val="24"/>
          <w:highlight w:val="white"/>
        </w:rPr>
        <w:t xml:space="preserve">bail </w:t>
      </w:r>
      <w:r w:rsidRPr="006F5709">
        <w:rPr>
          <w:rFonts w:eastAsia="Bookman Old Style"/>
          <w:szCs w:val="24"/>
          <w:highlight w:val="white"/>
        </w:rPr>
        <w:t>amount of bail the defendant is unable to pay is required to ensu</w:t>
      </w:r>
      <w:r w:rsidR="00933D93">
        <w:rPr>
          <w:rFonts w:eastAsia="Bookman Old Style"/>
          <w:szCs w:val="24"/>
          <w:highlight w:val="white"/>
        </w:rPr>
        <w:t>re</w:t>
      </w:r>
      <w:r w:rsidRPr="006F5709">
        <w:rPr>
          <w:rFonts w:eastAsia="Bookman Old Style"/>
          <w:szCs w:val="24"/>
          <w:highlight w:val="white"/>
        </w:rPr>
        <w:t xml:space="preserve"> or her future court appearances, it may impose that amount only upon a determination </w:t>
      </w:r>
      <w:r w:rsidRPr="006F5709">
        <w:rPr>
          <w:rFonts w:eastAsia="Bookman Old Style"/>
          <w:i/>
          <w:szCs w:val="24"/>
          <w:highlight w:val="white"/>
        </w:rPr>
        <w:t>by clear and convincing evidence</w:t>
      </w:r>
      <w:r w:rsidRPr="006F5709">
        <w:rPr>
          <w:rFonts w:eastAsia="Bookman Old Style"/>
          <w:szCs w:val="24"/>
          <w:highlight w:val="white"/>
        </w:rPr>
        <w:t xml:space="preserve"> that no less restrictive alternative will satisfy that purpose.”</w:t>
      </w:r>
      <w:r w:rsidRPr="006F5709">
        <w:rPr>
          <w:rFonts w:eastAsia="Bookman Old Style"/>
          <w:szCs w:val="24"/>
          <w:highlight w:val="white"/>
          <w:vertAlign w:val="superscript"/>
        </w:rPr>
        <w:footnoteReference w:id="18"/>
      </w:r>
      <w:r w:rsidRPr="006F5709">
        <w:rPr>
          <w:rFonts w:eastAsia="Bookman Old Style"/>
          <w:szCs w:val="24"/>
          <w:highlight w:val="white"/>
        </w:rPr>
        <w:t xml:space="preserve"> </w:t>
      </w:r>
    </w:p>
    <w:p w14:paraId="7F5E7CC0" w14:textId="3F1B579E" w:rsidR="00386A00" w:rsidRPr="006F5709" w:rsidRDefault="00386A00" w:rsidP="003E7704">
      <w:pPr>
        <w:spacing w:line="360" w:lineRule="auto"/>
        <w:rPr>
          <w:rFonts w:eastAsia="Bookman Old Style"/>
          <w:szCs w:val="24"/>
        </w:rPr>
      </w:pPr>
      <w:r w:rsidRPr="006F5709">
        <w:rPr>
          <w:rFonts w:eastAsia="Bookman Old Style"/>
          <w:szCs w:val="24"/>
        </w:rPr>
        <w:t xml:space="preserve">A financial condition of release is not </w:t>
      </w:r>
      <w:r w:rsidR="00D277BA" w:rsidRPr="006F5709">
        <w:rPr>
          <w:rFonts w:eastAsia="Bookman Old Style"/>
          <w:szCs w:val="24"/>
        </w:rPr>
        <w:t>required</w:t>
      </w:r>
      <w:r w:rsidRPr="006F5709">
        <w:rPr>
          <w:rFonts w:eastAsia="Bookman Old Style"/>
          <w:szCs w:val="24"/>
        </w:rPr>
        <w:t>. Based on</w:t>
      </w:r>
      <w:r w:rsidR="00640EB8" w:rsidRPr="006F5709">
        <w:rPr>
          <w:rFonts w:eastAsia="Bookman Old Style"/>
          <w:szCs w:val="24"/>
        </w:rPr>
        <w:t xml:space="preserve"> </w:t>
      </w:r>
      <w:r w:rsidR="00640EB8" w:rsidRPr="006F5709">
        <w:rPr>
          <w:rFonts w:eastAsia="Bookman Old Style"/>
          <w:szCs w:val="24"/>
          <w:highlight w:val="yellow"/>
        </w:rPr>
        <w:t>_______</w:t>
      </w:r>
      <w:r w:rsidRPr="006F5709">
        <w:rPr>
          <w:rFonts w:eastAsia="Bookman Old Style"/>
          <w:szCs w:val="24"/>
        </w:rPr>
        <w:t xml:space="preserve">’s history and community ties, this court should release </w:t>
      </w:r>
      <w:r w:rsidR="00640EB8" w:rsidRPr="006F5709">
        <w:rPr>
          <w:rFonts w:eastAsia="Bookman Old Style"/>
          <w:szCs w:val="24"/>
          <w:highlight w:val="yellow"/>
        </w:rPr>
        <w:t>_______</w:t>
      </w:r>
      <w:r w:rsidRPr="006F5709">
        <w:rPr>
          <w:rFonts w:eastAsia="Bookman Old Style"/>
          <w:szCs w:val="24"/>
        </w:rPr>
        <w:t xml:space="preserve"> on </w:t>
      </w:r>
      <w:r w:rsidRPr="006F5709">
        <w:rPr>
          <w:rFonts w:eastAsia="Bookman Old Style"/>
          <w:szCs w:val="24"/>
          <w:highlight w:val="yellow"/>
        </w:rPr>
        <w:t>his/her</w:t>
      </w:r>
      <w:r w:rsidR="00C460D8" w:rsidRPr="00C460D8">
        <w:rPr>
          <w:rFonts w:eastAsia="Bookman Old Style"/>
          <w:szCs w:val="24"/>
          <w:highlight w:val="yellow"/>
        </w:rPr>
        <w:t>/their</w:t>
      </w:r>
      <w:r w:rsidRPr="006F5709">
        <w:rPr>
          <w:rFonts w:eastAsia="Bookman Old Style"/>
          <w:szCs w:val="24"/>
        </w:rPr>
        <w:t xml:space="preserve"> own recognizance and</w:t>
      </w:r>
      <w:r w:rsidRPr="006F5709">
        <w:rPr>
          <w:rFonts w:eastAsia="Bookman Old Style"/>
          <w:color w:val="000000"/>
          <w:szCs w:val="24"/>
        </w:rPr>
        <w:t>, if necessary,</w:t>
      </w:r>
      <w:r w:rsidR="00D277BA" w:rsidRPr="006F5709">
        <w:rPr>
          <w:rFonts w:eastAsia="Bookman Old Style"/>
          <w:color w:val="000000"/>
          <w:szCs w:val="24"/>
        </w:rPr>
        <w:t xml:space="preserve"> </w:t>
      </w:r>
      <w:r w:rsidRPr="006F5709">
        <w:rPr>
          <w:rFonts w:eastAsia="Bookman Old Style"/>
          <w:szCs w:val="24"/>
        </w:rPr>
        <w:t xml:space="preserve">impose a non-financial condition of release. </w:t>
      </w:r>
      <w:r w:rsidR="00AE0AFE" w:rsidRPr="006F5709">
        <w:rPr>
          <w:rFonts w:eastAsia="Bookman Old Style"/>
          <w:szCs w:val="24"/>
          <w:highlight w:val="yellow"/>
        </w:rPr>
        <w:t>[</w:t>
      </w:r>
      <w:r w:rsidR="00C460D8">
        <w:rPr>
          <w:rFonts w:eastAsia="Bookman Old Style"/>
          <w:szCs w:val="24"/>
          <w:highlight w:val="yellow"/>
        </w:rPr>
        <w:t>______</w:t>
      </w:r>
      <w:r w:rsidRPr="006F5709">
        <w:rPr>
          <w:rFonts w:eastAsia="Bookman Old Style"/>
          <w:szCs w:val="24"/>
          <w:highlight w:val="yellow"/>
        </w:rPr>
        <w:t xml:space="preserve"> is not a flight risk, e.g. Public Safety Assessment (“PSA”) Report indicates that </w:t>
      </w:r>
      <w:r w:rsidR="00C460D8">
        <w:rPr>
          <w:rFonts w:eastAsia="Bookman Old Style"/>
          <w:szCs w:val="24"/>
          <w:highlight w:val="yellow"/>
        </w:rPr>
        <w:t>_____</w:t>
      </w:r>
      <w:r w:rsidRPr="006F5709">
        <w:rPr>
          <w:rFonts w:eastAsia="Bookman Old Style"/>
          <w:szCs w:val="24"/>
          <w:highlight w:val="yellow"/>
        </w:rPr>
        <w:t xml:space="preserve"> has no prior failures to appear</w:t>
      </w:r>
      <w:r w:rsidRPr="006F5709">
        <w:rPr>
          <w:rFonts w:eastAsia="Bookman Old Style"/>
          <w:szCs w:val="24"/>
          <w:highlight w:val="yellow"/>
          <w:vertAlign w:val="superscript"/>
        </w:rPr>
        <w:footnoteReference w:id="19"/>
      </w:r>
      <w:r w:rsidRPr="006F5709">
        <w:rPr>
          <w:rFonts w:eastAsia="Bookman Old Style"/>
          <w:szCs w:val="24"/>
        </w:rPr>
        <w:t>/</w:t>
      </w:r>
      <w:r w:rsidRPr="006F5709">
        <w:rPr>
          <w:rFonts w:eastAsia="Bookman Old Style"/>
          <w:szCs w:val="24"/>
          <w:highlight w:val="yellow"/>
        </w:rPr>
        <w:t xml:space="preserve">PSA recommends “Release… </w:t>
      </w:r>
      <w:r w:rsidRPr="006F5709">
        <w:rPr>
          <w:rFonts w:eastAsia="Bookman Old Style"/>
          <w:szCs w:val="24"/>
          <w:highlight w:val="yellow"/>
          <w:vertAlign w:val="superscript"/>
        </w:rPr>
        <w:footnoteReference w:id="20"/>
      </w:r>
      <w:r w:rsidRPr="006F5709">
        <w:rPr>
          <w:rFonts w:eastAsia="Bookman Old Style"/>
          <w:szCs w:val="24"/>
        </w:rPr>
        <w:t>/</w:t>
      </w:r>
      <w:r w:rsidR="00C460D8">
        <w:rPr>
          <w:rFonts w:eastAsia="Bookman Old Style"/>
          <w:szCs w:val="24"/>
          <w:highlight w:val="yellow"/>
        </w:rPr>
        <w:t>______</w:t>
      </w:r>
      <w:r w:rsidRPr="006F5709">
        <w:rPr>
          <w:rFonts w:eastAsia="Bookman Old Style"/>
          <w:szCs w:val="24"/>
          <w:highlight w:val="yellow"/>
        </w:rPr>
        <w:t xml:space="preserve"> has close ties to the community because of family/job/etc</w:t>
      </w:r>
      <w:r w:rsidR="00AE0AFE" w:rsidRPr="006F5709">
        <w:rPr>
          <w:rFonts w:eastAsia="Bookman Old Style"/>
          <w:szCs w:val="24"/>
        </w:rPr>
        <w:t>.]</w:t>
      </w:r>
      <w:r w:rsidRPr="006F5709">
        <w:rPr>
          <w:rFonts w:eastAsia="Bookman Old Style"/>
          <w:szCs w:val="24"/>
        </w:rPr>
        <w:t xml:space="preserve"> The facts favor own-recognizance release</w:t>
      </w:r>
      <w:r w:rsidR="00640EB8" w:rsidRPr="006F5709">
        <w:rPr>
          <w:rFonts w:eastAsia="Bookman Old Style"/>
          <w:szCs w:val="24"/>
        </w:rPr>
        <w:t xml:space="preserve"> here</w:t>
      </w:r>
      <w:r w:rsidRPr="006F5709">
        <w:rPr>
          <w:rFonts w:eastAsia="Bookman Old Style"/>
          <w:szCs w:val="24"/>
        </w:rPr>
        <w:t>.</w:t>
      </w:r>
    </w:p>
    <w:p w14:paraId="09D6ADDE" w14:textId="48C039EB" w:rsidR="00DB1FA9" w:rsidRPr="006F5709" w:rsidRDefault="00AE0AFE" w:rsidP="00744A55">
      <w:pPr>
        <w:spacing w:line="360" w:lineRule="auto"/>
        <w:rPr>
          <w:rFonts w:eastAsia="Bookman Old Style"/>
          <w:szCs w:val="24"/>
        </w:rPr>
      </w:pPr>
      <w:r w:rsidRPr="006F5709">
        <w:rPr>
          <w:rFonts w:eastAsia="Bookman Old Style"/>
          <w:szCs w:val="24"/>
        </w:rPr>
        <w:t xml:space="preserve">The court can impose </w:t>
      </w:r>
      <w:r w:rsidR="00386A00" w:rsidRPr="006F5709">
        <w:rPr>
          <w:rFonts w:eastAsia="Bookman Old Style"/>
          <w:szCs w:val="24"/>
        </w:rPr>
        <w:t xml:space="preserve">numerous non-financial conditions of release adequate to serve the government’s interests in court </w:t>
      </w:r>
      <w:r w:rsidR="00911AE8" w:rsidRPr="006F5709">
        <w:rPr>
          <w:rFonts w:eastAsia="Bookman Old Style"/>
          <w:szCs w:val="24"/>
        </w:rPr>
        <w:t>appearance, such as [</w:t>
      </w:r>
      <w:r w:rsidR="00386A00" w:rsidRPr="006F5709">
        <w:rPr>
          <w:rFonts w:eastAsia="Bookman Old Style"/>
          <w:szCs w:val="24"/>
          <w:highlight w:val="yellow"/>
        </w:rPr>
        <w:t>reminders/</w:t>
      </w:r>
      <w:r w:rsidR="00431875">
        <w:rPr>
          <w:rFonts w:eastAsia="Bookman Old Style"/>
          <w:szCs w:val="24"/>
          <w:highlight w:val="yellow"/>
        </w:rPr>
        <w:t xml:space="preserve">stay </w:t>
      </w:r>
      <w:r w:rsidR="00431875">
        <w:rPr>
          <w:rFonts w:eastAsia="Bookman Old Style"/>
          <w:szCs w:val="24"/>
          <w:highlight w:val="yellow"/>
        </w:rPr>
        <w:lastRenderedPageBreak/>
        <w:t>away orders/</w:t>
      </w:r>
      <w:r w:rsidR="00386A00" w:rsidRPr="006F5709">
        <w:rPr>
          <w:rFonts w:eastAsia="Bookman Old Style"/>
          <w:szCs w:val="24"/>
          <w:highlight w:val="yellow"/>
        </w:rPr>
        <w:t>check-ins/ankle monitoring/etc</w:t>
      </w:r>
      <w:r w:rsidR="00911AE8" w:rsidRPr="006F5709">
        <w:rPr>
          <w:rFonts w:eastAsia="Bookman Old Style"/>
          <w:szCs w:val="24"/>
        </w:rPr>
        <w:t>]</w:t>
      </w:r>
      <w:r w:rsidR="00386A00" w:rsidRPr="006F5709">
        <w:rPr>
          <w:rFonts w:eastAsia="Bookman Old Style"/>
          <w:szCs w:val="24"/>
        </w:rPr>
        <w:t>. These less</w:t>
      </w:r>
      <w:r w:rsidR="00911AE8" w:rsidRPr="006F5709">
        <w:rPr>
          <w:rFonts w:eastAsia="Bookman Old Style"/>
          <w:szCs w:val="24"/>
        </w:rPr>
        <w:t xml:space="preserve"> </w:t>
      </w:r>
      <w:r w:rsidR="00386A00" w:rsidRPr="006F5709">
        <w:rPr>
          <w:rFonts w:eastAsia="Bookman Old Style"/>
          <w:szCs w:val="24"/>
        </w:rPr>
        <w:t>restrictive alternatives are effective and narrowly tailored to secure</w:t>
      </w:r>
      <w:r w:rsidR="00640EB8" w:rsidRPr="006F5709">
        <w:rPr>
          <w:rFonts w:eastAsia="Bookman Old Style"/>
          <w:szCs w:val="24"/>
        </w:rPr>
        <w:t xml:space="preserve"> </w:t>
      </w:r>
      <w:r w:rsidR="00640EB8" w:rsidRPr="006F5709">
        <w:rPr>
          <w:rFonts w:eastAsia="Bookman Old Style"/>
          <w:szCs w:val="24"/>
          <w:highlight w:val="yellow"/>
        </w:rPr>
        <w:t>_______</w:t>
      </w:r>
      <w:r w:rsidR="00640EB8" w:rsidRPr="006F5709">
        <w:rPr>
          <w:rFonts w:eastAsia="Bookman Old Style"/>
          <w:szCs w:val="24"/>
        </w:rPr>
        <w:t xml:space="preserve">’s </w:t>
      </w:r>
      <w:r w:rsidR="00386A00" w:rsidRPr="006F5709">
        <w:rPr>
          <w:rFonts w:eastAsia="Bookman Old Style"/>
          <w:szCs w:val="24"/>
        </w:rPr>
        <w:t>court appearance.</w:t>
      </w:r>
      <w:r w:rsidR="00DB1FA9" w:rsidRPr="006F5709">
        <w:rPr>
          <w:rFonts w:eastAsia="Bookman Old Style"/>
          <w:szCs w:val="24"/>
        </w:rPr>
        <w:t xml:space="preserve"> Conditions of release “must be reasonable and there must be a sufficient nexus between the condition and protection of public safety.”</w:t>
      </w:r>
      <w:r w:rsidR="00DB1FA9" w:rsidRPr="006F5709">
        <w:rPr>
          <w:rStyle w:val="FootnoteReference"/>
          <w:rFonts w:eastAsia="Bookman Old Style"/>
          <w:szCs w:val="24"/>
        </w:rPr>
        <w:footnoteReference w:id="21"/>
      </w:r>
    </w:p>
    <w:p w14:paraId="403101E7" w14:textId="49A59DA2" w:rsidR="00F31ECB" w:rsidRPr="00850DFF" w:rsidRDefault="00F31ECB" w:rsidP="00850DFF">
      <w:pPr>
        <w:pStyle w:val="ListParagraph"/>
        <w:numPr>
          <w:ilvl w:val="0"/>
          <w:numId w:val="21"/>
        </w:numPr>
        <w:spacing w:after="240" w:line="240" w:lineRule="auto"/>
        <w:rPr>
          <w:rFonts w:eastAsia="Bookman Old Style"/>
          <w:b/>
          <w:bCs/>
          <w:szCs w:val="24"/>
        </w:rPr>
      </w:pPr>
      <w:r w:rsidRPr="00850DFF">
        <w:rPr>
          <w:rFonts w:eastAsia="Bookman Old Style"/>
          <w:b/>
          <w:bCs/>
          <w:szCs w:val="24"/>
        </w:rPr>
        <w:t>Bail schedules are the ant</w:t>
      </w:r>
      <w:r w:rsidR="0020496B" w:rsidRPr="00850DFF">
        <w:rPr>
          <w:rFonts w:eastAsia="Bookman Old Style"/>
          <w:b/>
          <w:bCs/>
          <w:szCs w:val="24"/>
        </w:rPr>
        <w:t>ithe</w:t>
      </w:r>
      <w:r w:rsidRPr="00850DFF">
        <w:rPr>
          <w:rFonts w:eastAsia="Bookman Old Style"/>
          <w:b/>
          <w:bCs/>
          <w:szCs w:val="24"/>
        </w:rPr>
        <w:t xml:space="preserve">sis of </w:t>
      </w:r>
      <w:r w:rsidR="00C47234" w:rsidRPr="00850DFF">
        <w:rPr>
          <w:rFonts w:eastAsia="Bookman Old Style"/>
          <w:b/>
          <w:bCs/>
          <w:szCs w:val="24"/>
        </w:rPr>
        <w:t>the</w:t>
      </w:r>
      <w:r w:rsidRPr="00850DFF">
        <w:rPr>
          <w:rFonts w:eastAsia="Bookman Old Style"/>
          <w:b/>
          <w:bCs/>
          <w:szCs w:val="24"/>
        </w:rPr>
        <w:t xml:space="preserve"> individualized inquiry</w:t>
      </w:r>
      <w:r w:rsidR="00C47234" w:rsidRPr="00850DFF">
        <w:rPr>
          <w:rFonts w:eastAsia="Bookman Old Style"/>
          <w:b/>
          <w:bCs/>
          <w:szCs w:val="24"/>
        </w:rPr>
        <w:t xml:space="preserve"> the court is required to make</w:t>
      </w:r>
      <w:r w:rsidRPr="00850DFF">
        <w:rPr>
          <w:rFonts w:eastAsia="Bookman Old Style"/>
          <w:b/>
          <w:bCs/>
          <w:szCs w:val="24"/>
        </w:rPr>
        <w:t>.</w:t>
      </w:r>
    </w:p>
    <w:p w14:paraId="7CEFD205" w14:textId="63D92C3A" w:rsidR="00AA7584" w:rsidRPr="006F5709" w:rsidRDefault="006F5AA5" w:rsidP="006F5AA5">
      <w:pPr>
        <w:spacing w:line="360" w:lineRule="auto"/>
        <w:ind w:firstLine="0"/>
        <w:rPr>
          <w:rFonts w:eastAsia="Bookman Old Style"/>
          <w:szCs w:val="24"/>
        </w:rPr>
      </w:pPr>
      <w:r>
        <w:rPr>
          <w:rFonts w:eastAsia="Bookman Old Style"/>
          <w:szCs w:val="24"/>
        </w:rPr>
        <w:t xml:space="preserve">     The </w:t>
      </w:r>
      <w:r w:rsidRPr="006F5AA5">
        <w:rPr>
          <w:rFonts w:eastAsia="Bookman Old Style"/>
          <w:i/>
          <w:iCs/>
          <w:szCs w:val="24"/>
        </w:rPr>
        <w:t>Humphrey</w:t>
      </w:r>
      <w:r>
        <w:rPr>
          <w:rFonts w:eastAsia="Bookman Old Style"/>
          <w:szCs w:val="24"/>
        </w:rPr>
        <w:t xml:space="preserve"> court affirmed that </w:t>
      </w:r>
      <w:r w:rsidR="00C47234" w:rsidRPr="00C47234">
        <w:rPr>
          <w:rFonts w:eastAsia="Bookman Old Style"/>
          <w:szCs w:val="24"/>
        </w:rPr>
        <w:t>pretrial detention must be based on factors related to the individual defendant's circumstances.</w:t>
      </w:r>
      <w:r w:rsidR="00C47234" w:rsidRPr="006F5709">
        <w:rPr>
          <w:rStyle w:val="FootnoteReference"/>
          <w:rFonts w:eastAsia="Bookman Old Style"/>
          <w:szCs w:val="24"/>
        </w:rPr>
        <w:footnoteReference w:id="22"/>
      </w:r>
      <w:r w:rsidR="00C47234">
        <w:rPr>
          <w:rFonts w:eastAsia="Bookman Old Style"/>
          <w:szCs w:val="24"/>
        </w:rPr>
        <w:t xml:space="preserve"> </w:t>
      </w:r>
      <w:r w:rsidR="00386A00" w:rsidRPr="006F5709">
        <w:rPr>
          <w:rFonts w:eastAsia="Bookman Old Style"/>
          <w:szCs w:val="24"/>
        </w:rPr>
        <w:t xml:space="preserve">In determining whether a financial condition of release is required, the court </w:t>
      </w:r>
      <w:r w:rsidR="00553C47" w:rsidRPr="006F5709">
        <w:rPr>
          <w:rFonts w:eastAsia="Bookman Old Style"/>
          <w:szCs w:val="24"/>
        </w:rPr>
        <w:t>should not</w:t>
      </w:r>
      <w:r w:rsidR="00386A00" w:rsidRPr="006F5709">
        <w:rPr>
          <w:rFonts w:eastAsia="Bookman Old Style"/>
          <w:szCs w:val="24"/>
        </w:rPr>
        <w:t xml:space="preserve"> simply apply the bail schedule to the charges</w:t>
      </w:r>
      <w:r w:rsidR="00D528B2" w:rsidRPr="006F5709">
        <w:rPr>
          <w:rFonts w:eastAsia="Bookman Old Style"/>
          <w:szCs w:val="24"/>
        </w:rPr>
        <w:t xml:space="preserve"> </w:t>
      </w:r>
      <w:r w:rsidR="00AC55B8" w:rsidRPr="006F5709">
        <w:rPr>
          <w:rFonts w:eastAsia="Bookman Old Style"/>
          <w:szCs w:val="24"/>
          <w:highlight w:val="white"/>
        </w:rPr>
        <w:t>b</w:t>
      </w:r>
      <w:r w:rsidR="00386A00" w:rsidRPr="006F5709">
        <w:rPr>
          <w:rFonts w:eastAsia="Bookman Old Style"/>
          <w:szCs w:val="24"/>
          <w:highlight w:val="white"/>
        </w:rPr>
        <w:t>ecause bail schedules “represent the antithesis of the individualized inquiry required before a court can order pretrial detention</w:t>
      </w:r>
      <w:r w:rsidR="00AC55B8" w:rsidRPr="006F5709">
        <w:rPr>
          <w:rFonts w:eastAsia="Bookman Old Style"/>
          <w:szCs w:val="24"/>
          <w:highlight w:val="white"/>
        </w:rPr>
        <w:t>.</w:t>
      </w:r>
      <w:r w:rsidR="00386A00" w:rsidRPr="006F5709">
        <w:rPr>
          <w:rFonts w:eastAsia="Bookman Old Style"/>
          <w:szCs w:val="24"/>
          <w:highlight w:val="white"/>
        </w:rPr>
        <w:t>”</w:t>
      </w:r>
      <w:r w:rsidR="008571A5" w:rsidRPr="006F5709">
        <w:rPr>
          <w:rStyle w:val="FootnoteReference"/>
          <w:rFonts w:eastAsia="Bookman Old Style"/>
          <w:szCs w:val="24"/>
          <w:highlight w:val="white"/>
        </w:rPr>
        <w:footnoteReference w:id="23"/>
      </w:r>
      <w:r w:rsidR="00386A00" w:rsidRPr="006F5709">
        <w:rPr>
          <w:rFonts w:eastAsia="Bookman Old Style"/>
          <w:szCs w:val="24"/>
          <w:highlight w:val="white"/>
        </w:rPr>
        <w:t xml:space="preserve"> Once this court determines that public safety and victim safety do not require pretrial detention and </w:t>
      </w:r>
      <w:r w:rsidR="00386A00" w:rsidRPr="006F5709">
        <w:rPr>
          <w:rFonts w:eastAsia="Bookman Old Style"/>
          <w:szCs w:val="24"/>
        </w:rPr>
        <w:t xml:space="preserve">defendant </w:t>
      </w:r>
      <w:r w:rsidR="00386A00" w:rsidRPr="006F5709">
        <w:rPr>
          <w:rFonts w:eastAsia="Bookman Old Style"/>
          <w:szCs w:val="24"/>
          <w:highlight w:val="white"/>
        </w:rPr>
        <w:t xml:space="preserve">should be released, “the important financial inquiry </w:t>
      </w:r>
      <w:r w:rsidR="002B00C9" w:rsidRPr="006F5709">
        <w:rPr>
          <w:rFonts w:eastAsia="Bookman Old Style"/>
          <w:szCs w:val="24"/>
          <w:highlight w:val="white"/>
        </w:rPr>
        <w:t xml:space="preserve">is </w:t>
      </w:r>
      <w:r w:rsidR="00D528B2" w:rsidRPr="006F5709">
        <w:rPr>
          <w:rFonts w:eastAsia="Bookman Old Style"/>
          <w:szCs w:val="24"/>
          <w:highlight w:val="white"/>
        </w:rPr>
        <w:t xml:space="preserve">… </w:t>
      </w:r>
      <w:r w:rsidR="00386A00" w:rsidRPr="006F5709">
        <w:rPr>
          <w:rFonts w:eastAsia="Bookman Old Style"/>
          <w:szCs w:val="24"/>
          <w:highlight w:val="white"/>
        </w:rPr>
        <w:t>the amount necessary to secure the defendant’s appearance.</w:t>
      </w:r>
      <w:r w:rsidR="00386A00" w:rsidRPr="006F5709">
        <w:rPr>
          <w:rFonts w:eastAsia="Bookman Old Style"/>
          <w:szCs w:val="24"/>
        </w:rPr>
        <w:t>”</w:t>
      </w:r>
      <w:r w:rsidR="00386A00" w:rsidRPr="006F5709">
        <w:rPr>
          <w:rFonts w:eastAsia="Bookman Old Style"/>
          <w:szCs w:val="24"/>
          <w:vertAlign w:val="superscript"/>
        </w:rPr>
        <w:footnoteReference w:id="24"/>
      </w:r>
      <w:r w:rsidR="00386A00" w:rsidRPr="006F5709">
        <w:rPr>
          <w:rFonts w:eastAsia="Bookman Old Style"/>
          <w:szCs w:val="24"/>
        </w:rPr>
        <w:t xml:space="preserve">  </w:t>
      </w:r>
    </w:p>
    <w:p w14:paraId="79E18950" w14:textId="73F79219" w:rsidR="00386A00" w:rsidRPr="006F5709" w:rsidRDefault="00386A00" w:rsidP="003E7704">
      <w:pPr>
        <w:spacing w:line="360" w:lineRule="auto"/>
        <w:rPr>
          <w:rFonts w:eastAsia="Bookman Old Style"/>
          <w:szCs w:val="24"/>
        </w:rPr>
      </w:pPr>
      <w:r w:rsidRPr="006F5709">
        <w:rPr>
          <w:rFonts w:eastAsia="Bookman Old Style"/>
          <w:szCs w:val="24"/>
        </w:rPr>
        <w:t>With this in mind, the court should not use the statutory bail schedule as a guideline</w:t>
      </w:r>
      <w:r w:rsidR="00852891" w:rsidRPr="006F5709">
        <w:rPr>
          <w:rFonts w:eastAsia="Bookman Old Style"/>
          <w:szCs w:val="24"/>
        </w:rPr>
        <w:t xml:space="preserve"> </w:t>
      </w:r>
      <w:r w:rsidRPr="006F5709">
        <w:rPr>
          <w:rFonts w:eastAsia="Bookman Old Style"/>
          <w:szCs w:val="24"/>
        </w:rPr>
        <w:t xml:space="preserve">because </w:t>
      </w:r>
      <w:r w:rsidR="00380BF2">
        <w:rPr>
          <w:rFonts w:eastAsia="Bookman Old Style"/>
          <w:szCs w:val="24"/>
        </w:rPr>
        <w:t xml:space="preserve">pre-determined, one-amount-fits-all </w:t>
      </w:r>
      <w:r w:rsidRPr="006F5709">
        <w:rPr>
          <w:rFonts w:eastAsia="Bookman Old Style"/>
          <w:szCs w:val="24"/>
        </w:rPr>
        <w:t xml:space="preserve">bail </w:t>
      </w:r>
      <w:r w:rsidR="00380BF2">
        <w:rPr>
          <w:rFonts w:eastAsia="Bookman Old Style"/>
          <w:szCs w:val="24"/>
        </w:rPr>
        <w:t xml:space="preserve">amounts based on the charged offense alone </w:t>
      </w:r>
      <w:r w:rsidR="006F5AA5">
        <w:rPr>
          <w:rFonts w:eastAsia="Bookman Old Style"/>
          <w:szCs w:val="24"/>
        </w:rPr>
        <w:t xml:space="preserve">violate </w:t>
      </w:r>
      <w:r w:rsidRPr="006F5709">
        <w:rPr>
          <w:rFonts w:eastAsia="Bookman Old Style"/>
          <w:szCs w:val="24"/>
        </w:rPr>
        <w:t>unconstitutional</w:t>
      </w:r>
      <w:r w:rsidR="006F5AA5">
        <w:rPr>
          <w:rFonts w:eastAsia="Bookman Old Style"/>
          <w:szCs w:val="24"/>
        </w:rPr>
        <w:t xml:space="preserve"> </w:t>
      </w:r>
      <w:r w:rsidRPr="006F5709">
        <w:rPr>
          <w:rFonts w:eastAsia="Bookman Old Style"/>
          <w:szCs w:val="24"/>
        </w:rPr>
        <w:t>due process and equal protection</w:t>
      </w:r>
      <w:r w:rsidR="006F5AA5">
        <w:rPr>
          <w:rFonts w:eastAsia="Bookman Old Style"/>
          <w:szCs w:val="24"/>
        </w:rPr>
        <w:t>s</w:t>
      </w:r>
      <w:r w:rsidRPr="006F5709">
        <w:rPr>
          <w:rFonts w:eastAsia="Bookman Old Style"/>
          <w:szCs w:val="24"/>
        </w:rPr>
        <w:t xml:space="preserve"> </w:t>
      </w:r>
      <w:r w:rsidRPr="006F5709">
        <w:rPr>
          <w:rFonts w:eastAsia="Bookman Old Style"/>
          <w:szCs w:val="24"/>
        </w:rPr>
        <w:lastRenderedPageBreak/>
        <w:t>without regard to individualized consideration</w:t>
      </w:r>
      <w:r w:rsidR="00AA7584" w:rsidRPr="006F5709">
        <w:rPr>
          <w:rFonts w:eastAsia="Bookman Old Style"/>
          <w:szCs w:val="24"/>
        </w:rPr>
        <w:t>,</w:t>
      </w:r>
      <w:r w:rsidRPr="006F5709">
        <w:rPr>
          <w:rFonts w:eastAsia="Bookman Old Style"/>
          <w:szCs w:val="24"/>
        </w:rPr>
        <w:t xml:space="preserve"> resulting in the detention of indigent</w:t>
      </w:r>
      <w:r w:rsidR="00852891" w:rsidRPr="006F5709">
        <w:rPr>
          <w:rFonts w:eastAsia="Bookman Old Style"/>
          <w:szCs w:val="24"/>
        </w:rPr>
        <w:t xml:space="preserve"> people</w:t>
      </w:r>
      <w:r w:rsidRPr="006F5709">
        <w:rPr>
          <w:rFonts w:eastAsia="Bookman Old Style"/>
          <w:szCs w:val="24"/>
        </w:rPr>
        <w:t>.</w:t>
      </w:r>
      <w:r w:rsidRPr="006F5709">
        <w:rPr>
          <w:rFonts w:eastAsia="Bookman Old Style"/>
          <w:szCs w:val="24"/>
          <w:vertAlign w:val="superscript"/>
        </w:rPr>
        <w:footnoteReference w:id="25"/>
      </w:r>
      <w:r w:rsidRPr="006F5709">
        <w:rPr>
          <w:rFonts w:eastAsia="Bookman Old Style"/>
          <w:szCs w:val="24"/>
        </w:rPr>
        <w:t xml:space="preserve"> If this court determines that a financial condition of release is necessary to ensure court appearance, the individualized </w:t>
      </w:r>
      <w:r w:rsidR="00D277BA" w:rsidRPr="006F5709">
        <w:rPr>
          <w:rFonts w:eastAsia="Bookman Old Style"/>
          <w:szCs w:val="24"/>
        </w:rPr>
        <w:t xml:space="preserve">circumstances require </w:t>
      </w:r>
      <w:r w:rsidRPr="006F5709">
        <w:rPr>
          <w:rFonts w:eastAsia="Bookman Old Style"/>
          <w:szCs w:val="24"/>
        </w:rPr>
        <w:t>that money bail be set in</w:t>
      </w:r>
      <w:r w:rsidR="006F5AA5">
        <w:rPr>
          <w:rFonts w:eastAsia="Bookman Old Style"/>
          <w:szCs w:val="24"/>
        </w:rPr>
        <w:t xml:space="preserve"> an amount </w:t>
      </w:r>
      <w:r w:rsidR="006F5AA5" w:rsidRPr="006F5AA5">
        <w:rPr>
          <w:rFonts w:eastAsia="Bookman Old Style"/>
          <w:szCs w:val="24"/>
          <w:highlight w:val="yellow"/>
        </w:rPr>
        <w:t>______</w:t>
      </w:r>
      <w:r w:rsidR="006F5AA5">
        <w:rPr>
          <w:rFonts w:eastAsia="Bookman Old Style"/>
          <w:szCs w:val="24"/>
        </w:rPr>
        <w:t xml:space="preserve"> can pay</w:t>
      </w:r>
      <w:r w:rsidR="00334314">
        <w:rPr>
          <w:rFonts w:eastAsia="Bookman Old Style"/>
          <w:szCs w:val="24"/>
        </w:rPr>
        <w:t xml:space="preserve">, in accordance with </w:t>
      </w:r>
      <w:r w:rsidR="00334314" w:rsidRPr="00334314">
        <w:rPr>
          <w:rFonts w:eastAsia="Bookman Old Style"/>
          <w:i/>
          <w:iCs/>
          <w:szCs w:val="24"/>
        </w:rPr>
        <w:t>Humphrey</w:t>
      </w:r>
      <w:r w:rsidRPr="006F5709">
        <w:rPr>
          <w:rFonts w:eastAsia="Bookman Old Style"/>
          <w:szCs w:val="24"/>
        </w:rPr>
        <w:t xml:space="preserve">. </w:t>
      </w:r>
    </w:p>
    <w:p w14:paraId="6350F9F8" w14:textId="15FFA84D" w:rsidR="005752D0" w:rsidRPr="006F5AA5" w:rsidRDefault="00850DFF" w:rsidP="00850DFF">
      <w:pPr>
        <w:pStyle w:val="ListParagraph"/>
        <w:numPr>
          <w:ilvl w:val="0"/>
          <w:numId w:val="21"/>
        </w:numPr>
        <w:spacing w:after="240" w:line="240" w:lineRule="auto"/>
        <w:rPr>
          <w:rFonts w:eastAsia="Bookman Old Style"/>
          <w:b/>
          <w:bCs/>
          <w:szCs w:val="24"/>
        </w:rPr>
      </w:pPr>
      <w:r>
        <w:rPr>
          <w:rFonts w:eastAsia="Bookman Old Style"/>
          <w:b/>
          <w:bCs/>
          <w:szCs w:val="24"/>
        </w:rPr>
        <w:t>The p</w:t>
      </w:r>
      <w:r w:rsidR="003E4C61" w:rsidRPr="006F5AA5">
        <w:rPr>
          <w:rFonts w:eastAsia="Bookman Old Style"/>
          <w:b/>
          <w:bCs/>
          <w:szCs w:val="24"/>
        </w:rPr>
        <w:t>resumption</w:t>
      </w:r>
      <w:r>
        <w:rPr>
          <w:rFonts w:eastAsia="Bookman Old Style"/>
          <w:b/>
          <w:bCs/>
          <w:szCs w:val="24"/>
        </w:rPr>
        <w:t xml:space="preserve"> of innocence and</w:t>
      </w:r>
      <w:r w:rsidR="006F5AA5">
        <w:rPr>
          <w:rFonts w:eastAsia="Bookman Old Style"/>
          <w:b/>
          <w:bCs/>
          <w:szCs w:val="24"/>
        </w:rPr>
        <w:t xml:space="preserve"> of</w:t>
      </w:r>
      <w:r w:rsidR="00163C56" w:rsidRPr="006F5AA5">
        <w:rPr>
          <w:rFonts w:eastAsia="Bookman Old Style"/>
          <w:b/>
          <w:bCs/>
          <w:szCs w:val="24"/>
        </w:rPr>
        <w:t xml:space="preserve"> pretrial </w:t>
      </w:r>
      <w:r w:rsidR="003E4C61" w:rsidRPr="006F5AA5">
        <w:rPr>
          <w:rFonts w:eastAsia="Bookman Old Style"/>
          <w:b/>
          <w:bCs/>
          <w:szCs w:val="24"/>
        </w:rPr>
        <w:t>release</w:t>
      </w:r>
      <w:r>
        <w:rPr>
          <w:rFonts w:eastAsia="Bookman Old Style"/>
          <w:b/>
          <w:bCs/>
          <w:szCs w:val="24"/>
        </w:rPr>
        <w:t xml:space="preserve"> </w:t>
      </w:r>
      <w:r w:rsidR="006F5AA5">
        <w:rPr>
          <w:rFonts w:eastAsia="Bookman Old Style"/>
          <w:b/>
          <w:bCs/>
          <w:szCs w:val="24"/>
        </w:rPr>
        <w:t xml:space="preserve">apply </w:t>
      </w:r>
      <w:r w:rsidR="0036467C" w:rsidRPr="006F5AA5">
        <w:rPr>
          <w:rFonts w:eastAsia="Bookman Old Style"/>
          <w:b/>
          <w:bCs/>
          <w:szCs w:val="24"/>
        </w:rPr>
        <w:t xml:space="preserve">when considering </w:t>
      </w:r>
      <w:r w:rsidR="00CB2FEE" w:rsidRPr="006F5AA5">
        <w:rPr>
          <w:rFonts w:eastAsia="Bookman Old Style"/>
          <w:b/>
          <w:bCs/>
          <w:szCs w:val="24"/>
        </w:rPr>
        <w:t>bail</w:t>
      </w:r>
      <w:r w:rsidR="00667875" w:rsidRPr="006F5AA5">
        <w:rPr>
          <w:rFonts w:eastAsia="Bookman Old Style"/>
          <w:b/>
          <w:bCs/>
          <w:szCs w:val="24"/>
        </w:rPr>
        <w:t>.</w:t>
      </w:r>
    </w:p>
    <w:p w14:paraId="70C81492" w14:textId="757DF2CC" w:rsidR="00667875" w:rsidRPr="006F5709" w:rsidRDefault="003E4C61" w:rsidP="003E7704">
      <w:pPr>
        <w:spacing w:line="360" w:lineRule="auto"/>
        <w:rPr>
          <w:rFonts w:eastAsia="Bookman Old Style"/>
          <w:szCs w:val="24"/>
        </w:rPr>
      </w:pPr>
      <w:r w:rsidRPr="006F5709">
        <w:rPr>
          <w:rFonts w:eastAsia="Bookman Old Style"/>
          <w:szCs w:val="24"/>
        </w:rPr>
        <w:t>The United States Supreme Court</w:t>
      </w:r>
      <w:r w:rsidR="00163C56" w:rsidRPr="006F5709">
        <w:rPr>
          <w:rFonts w:eastAsia="Bookman Old Style"/>
          <w:szCs w:val="24"/>
        </w:rPr>
        <w:t xml:space="preserve"> </w:t>
      </w:r>
      <w:r w:rsidRPr="006F5709">
        <w:rPr>
          <w:rFonts w:eastAsia="Bookman Old Style"/>
          <w:szCs w:val="24"/>
        </w:rPr>
        <w:t xml:space="preserve">upheld </w:t>
      </w:r>
      <w:r w:rsidR="00B0763F" w:rsidRPr="006F5709">
        <w:rPr>
          <w:rFonts w:eastAsia="Bookman Old Style"/>
          <w:szCs w:val="24"/>
        </w:rPr>
        <w:t xml:space="preserve">the constitutionality of </w:t>
      </w:r>
      <w:r w:rsidRPr="006F5709">
        <w:rPr>
          <w:rFonts w:eastAsia="Bookman Old Style"/>
          <w:szCs w:val="24"/>
        </w:rPr>
        <w:t>a bail act that specified that</w:t>
      </w:r>
      <w:r w:rsidR="00FB1EEC" w:rsidRPr="006F5709">
        <w:rPr>
          <w:rFonts w:eastAsia="Bookman Old Style"/>
          <w:szCs w:val="24"/>
        </w:rPr>
        <w:t>,</w:t>
      </w:r>
      <w:r w:rsidRPr="006F5709">
        <w:rPr>
          <w:rFonts w:eastAsia="Bookman Old Style"/>
          <w:szCs w:val="24"/>
        </w:rPr>
        <w:t xml:space="preserve"> unless reasons exist that the person will not return to court or will endanger others,</w:t>
      </w:r>
      <w:r w:rsidR="00667875" w:rsidRPr="006F5709">
        <w:rPr>
          <w:rFonts w:eastAsia="Bookman Old Style"/>
          <w:szCs w:val="24"/>
        </w:rPr>
        <w:t xml:space="preserve"> the accused shall be released.</w:t>
      </w:r>
      <w:r w:rsidR="00667875" w:rsidRPr="006F5709">
        <w:rPr>
          <w:rStyle w:val="FootnoteReference"/>
          <w:rFonts w:eastAsia="Bookman Old Style"/>
          <w:szCs w:val="24"/>
        </w:rPr>
        <w:footnoteReference w:id="26"/>
      </w:r>
      <w:r w:rsidRPr="006F5709">
        <w:rPr>
          <w:rFonts w:eastAsia="Bookman Old Style"/>
          <w:szCs w:val="24"/>
        </w:rPr>
        <w:t xml:space="preserve"> </w:t>
      </w:r>
      <w:r w:rsidR="00667875" w:rsidRPr="006F5709">
        <w:rPr>
          <w:rFonts w:eastAsia="Bookman Old Style"/>
          <w:szCs w:val="24"/>
        </w:rPr>
        <w:t xml:space="preserve">In other words, </w:t>
      </w:r>
      <w:r w:rsidRPr="006F5709">
        <w:rPr>
          <w:rFonts w:eastAsia="Bookman Old Style"/>
          <w:szCs w:val="24"/>
        </w:rPr>
        <w:t>“the presumption is release pending trial.”</w:t>
      </w:r>
      <w:r w:rsidRPr="006F5709">
        <w:rPr>
          <w:rStyle w:val="FootnoteReference"/>
          <w:rFonts w:eastAsia="Bookman Old Style"/>
          <w:szCs w:val="24"/>
        </w:rPr>
        <w:footnoteReference w:id="27"/>
      </w:r>
    </w:p>
    <w:p w14:paraId="62DA9AD5" w14:textId="7476826B" w:rsidR="003E4C61" w:rsidRDefault="008F72C1" w:rsidP="003E7704">
      <w:pPr>
        <w:spacing w:line="360" w:lineRule="auto"/>
        <w:rPr>
          <w:rFonts w:eastAsia="Bookman Old Style"/>
          <w:szCs w:val="24"/>
        </w:rPr>
      </w:pPr>
      <w:r w:rsidRPr="006F5709">
        <w:rPr>
          <w:rFonts w:eastAsia="Bookman Old Style"/>
          <w:szCs w:val="24"/>
        </w:rPr>
        <w:t xml:space="preserve">An accused’s presumption of innocence is not abridged when applying for pretrial release. </w:t>
      </w:r>
      <w:r w:rsidR="00667875" w:rsidRPr="006F5709">
        <w:rPr>
          <w:rFonts w:eastAsia="Bookman Old Style"/>
          <w:szCs w:val="24"/>
        </w:rPr>
        <w:t xml:space="preserve">The </w:t>
      </w:r>
      <w:r w:rsidR="008E4C99">
        <w:rPr>
          <w:rFonts w:eastAsia="Bookman Old Style"/>
          <w:szCs w:val="24"/>
        </w:rPr>
        <w:t>H</w:t>
      </w:r>
      <w:r w:rsidR="00667875" w:rsidRPr="006F5709">
        <w:rPr>
          <w:rFonts w:eastAsia="Bookman Old Style"/>
          <w:szCs w:val="24"/>
        </w:rPr>
        <w:t xml:space="preserve">igh </w:t>
      </w:r>
      <w:r w:rsidR="008E4C99">
        <w:rPr>
          <w:rFonts w:eastAsia="Bookman Old Style"/>
          <w:szCs w:val="24"/>
        </w:rPr>
        <w:t>C</w:t>
      </w:r>
      <w:r w:rsidR="00667875" w:rsidRPr="006F5709">
        <w:rPr>
          <w:rFonts w:eastAsia="Bookman Old Style"/>
          <w:szCs w:val="24"/>
        </w:rPr>
        <w:t xml:space="preserve">ourt explained that “federal law has unequivocally provided that a person arrested for a non-capital offense shall be admitted to bail” because “[t]his traditional right to freedom before conviction permits the unhampered preparation of a defense, and serves to prevent the infliction of punishment prior to conviction. [Citation.] Unless this right to bail before trial is preserved, </w:t>
      </w:r>
      <w:r w:rsidR="00667875" w:rsidRPr="006F5709">
        <w:rPr>
          <w:rFonts w:eastAsia="Bookman Old Style"/>
          <w:i/>
          <w:iCs/>
          <w:szCs w:val="24"/>
        </w:rPr>
        <w:lastRenderedPageBreak/>
        <w:t>the presumption of innocence, secured only after centuries of struggle, would lose its meaning</w:t>
      </w:r>
      <w:r w:rsidR="00667875" w:rsidRPr="006F5709">
        <w:rPr>
          <w:rFonts w:eastAsia="Bookman Old Style"/>
          <w:szCs w:val="24"/>
        </w:rPr>
        <w:t>.”</w:t>
      </w:r>
      <w:r w:rsidR="00667875" w:rsidRPr="006F5709">
        <w:rPr>
          <w:rStyle w:val="FootnoteReference"/>
          <w:rFonts w:eastAsia="Bookman Old Style"/>
          <w:szCs w:val="24"/>
        </w:rPr>
        <w:footnoteReference w:id="28"/>
      </w:r>
    </w:p>
    <w:p w14:paraId="51BEBFBE" w14:textId="2D782D2B" w:rsidR="00170417" w:rsidRPr="006F5709" w:rsidRDefault="000B1CE2" w:rsidP="003E7704">
      <w:pPr>
        <w:spacing w:line="360" w:lineRule="auto"/>
        <w:rPr>
          <w:rFonts w:eastAsia="Bookman Old Style"/>
          <w:szCs w:val="24"/>
        </w:rPr>
      </w:pPr>
      <w:r w:rsidRPr="006F5709">
        <w:rPr>
          <w:rFonts w:eastAsia="Bookman Old Style"/>
          <w:szCs w:val="24"/>
        </w:rPr>
        <w:t xml:space="preserve">In the same vein, the court should not give undue consideration to the potential sentence </w:t>
      </w:r>
      <w:r w:rsidR="00596C2A">
        <w:rPr>
          <w:rFonts w:eastAsia="Bookman Old Style"/>
          <w:szCs w:val="24"/>
        </w:rPr>
        <w:t xml:space="preserve">an </w:t>
      </w:r>
      <w:r w:rsidR="00686162" w:rsidRPr="006F5709">
        <w:rPr>
          <w:rFonts w:eastAsia="Bookman Old Style"/>
          <w:szCs w:val="24"/>
        </w:rPr>
        <w:t xml:space="preserve">accused </w:t>
      </w:r>
      <w:r w:rsidR="00596C2A">
        <w:rPr>
          <w:rFonts w:eastAsia="Bookman Old Style"/>
          <w:szCs w:val="24"/>
        </w:rPr>
        <w:t xml:space="preserve">faces </w:t>
      </w:r>
      <w:r w:rsidRPr="006F5709">
        <w:rPr>
          <w:rFonts w:eastAsia="Bookman Old Style"/>
          <w:szCs w:val="24"/>
        </w:rPr>
        <w:t>in determining pretrial release. F</w:t>
      </w:r>
      <w:r w:rsidR="007B4C6C" w:rsidRPr="006F5709">
        <w:rPr>
          <w:rFonts w:eastAsia="Bookman Old Style"/>
          <w:szCs w:val="24"/>
        </w:rPr>
        <w:t xml:space="preserve">ocusing on the severity of the sentence is improper in </w:t>
      </w:r>
      <w:r w:rsidR="00AC55B8" w:rsidRPr="006F5709">
        <w:rPr>
          <w:rFonts w:eastAsia="Bookman Old Style"/>
          <w:szCs w:val="24"/>
        </w:rPr>
        <w:t>adjudging likelihood</w:t>
      </w:r>
      <w:r w:rsidR="007B4C6C" w:rsidRPr="006F5709">
        <w:rPr>
          <w:rFonts w:eastAsia="Bookman Old Style"/>
          <w:szCs w:val="24"/>
        </w:rPr>
        <w:t xml:space="preserve"> of reappearance</w:t>
      </w:r>
      <w:r w:rsidR="00596C2A">
        <w:rPr>
          <w:rFonts w:eastAsia="Bookman Old Style"/>
          <w:szCs w:val="24"/>
        </w:rPr>
        <w:t>.</w:t>
      </w:r>
      <w:r w:rsidR="007B4C6C" w:rsidRPr="006F5709">
        <w:rPr>
          <w:rFonts w:eastAsia="Bookman Old Style"/>
          <w:szCs w:val="24"/>
        </w:rPr>
        <w:t xml:space="preserve"> </w:t>
      </w:r>
      <w:r w:rsidR="00596C2A">
        <w:rPr>
          <w:rFonts w:eastAsia="Bookman Old Style"/>
          <w:szCs w:val="24"/>
        </w:rPr>
        <w:t xml:space="preserve">Instead, </w:t>
      </w:r>
      <w:r w:rsidR="007B4C6C" w:rsidRPr="006F5709">
        <w:rPr>
          <w:rFonts w:eastAsia="Bookman Old Style"/>
          <w:szCs w:val="24"/>
        </w:rPr>
        <w:t xml:space="preserve">the court </w:t>
      </w:r>
      <w:r w:rsidR="00411A4B" w:rsidRPr="006F5709">
        <w:rPr>
          <w:rFonts w:eastAsia="Bookman Old Style"/>
          <w:szCs w:val="24"/>
        </w:rPr>
        <w:t>should</w:t>
      </w:r>
      <w:r w:rsidR="007B4C6C" w:rsidRPr="006F5709">
        <w:rPr>
          <w:rFonts w:eastAsia="Bookman Old Style"/>
          <w:szCs w:val="24"/>
        </w:rPr>
        <w:t xml:space="preserve"> balance individualized factors</w:t>
      </w:r>
      <w:r w:rsidR="00596C2A">
        <w:rPr>
          <w:rFonts w:eastAsia="Bookman Old Style"/>
          <w:szCs w:val="24"/>
        </w:rPr>
        <w:t xml:space="preserve">, such as </w:t>
      </w:r>
      <w:r w:rsidR="007B4C6C" w:rsidRPr="006F5709">
        <w:rPr>
          <w:rFonts w:eastAsia="Bookman Old Style"/>
          <w:szCs w:val="24"/>
        </w:rPr>
        <w:t xml:space="preserve">ties to the community, </w:t>
      </w:r>
      <w:r w:rsidR="008C56F0" w:rsidRPr="006F5709">
        <w:rPr>
          <w:rFonts w:eastAsia="Bookman Old Style"/>
          <w:szCs w:val="24"/>
        </w:rPr>
        <w:t xml:space="preserve">and </w:t>
      </w:r>
      <w:r w:rsidR="007B4C6C" w:rsidRPr="006F5709">
        <w:rPr>
          <w:rFonts w:eastAsia="Bookman Old Style"/>
          <w:szCs w:val="24"/>
        </w:rPr>
        <w:t xml:space="preserve">prior </w:t>
      </w:r>
      <w:r w:rsidR="00D277BA" w:rsidRPr="006F5709">
        <w:rPr>
          <w:rFonts w:eastAsia="Bookman Old Style"/>
          <w:szCs w:val="24"/>
        </w:rPr>
        <w:t>court attendance r</w:t>
      </w:r>
      <w:r w:rsidR="007B4C6C" w:rsidRPr="006F5709">
        <w:rPr>
          <w:rFonts w:eastAsia="Bookman Old Style"/>
          <w:szCs w:val="24"/>
        </w:rPr>
        <w:t>ecord</w:t>
      </w:r>
      <w:r w:rsidR="00D277BA" w:rsidRPr="006F5709">
        <w:rPr>
          <w:rFonts w:eastAsia="Bookman Old Style"/>
          <w:szCs w:val="24"/>
        </w:rPr>
        <w:t xml:space="preserve"> to decide</w:t>
      </w:r>
      <w:r w:rsidR="007B4C6C" w:rsidRPr="006F5709">
        <w:rPr>
          <w:rFonts w:eastAsia="Bookman Old Style"/>
          <w:szCs w:val="24"/>
        </w:rPr>
        <w:t>.</w:t>
      </w:r>
      <w:r w:rsidR="007B4C6C" w:rsidRPr="006F5709">
        <w:rPr>
          <w:rStyle w:val="FootnoteReference"/>
          <w:rFonts w:eastAsia="Bookman Old Style"/>
          <w:szCs w:val="24"/>
        </w:rPr>
        <w:footnoteReference w:id="29"/>
      </w:r>
      <w:r w:rsidR="000345FC" w:rsidRPr="006F5709">
        <w:rPr>
          <w:rFonts w:eastAsia="Bookman Old Style"/>
          <w:szCs w:val="24"/>
        </w:rPr>
        <w:t xml:space="preserve"> “Otherwise</w:t>
      </w:r>
      <w:r w:rsidR="00A000C9">
        <w:rPr>
          <w:rFonts w:eastAsia="Bookman Old Style"/>
          <w:szCs w:val="24"/>
        </w:rPr>
        <w:t>,</w:t>
      </w:r>
      <w:r w:rsidR="000345FC" w:rsidRPr="006F5709">
        <w:rPr>
          <w:rFonts w:eastAsia="Bookman Old Style"/>
          <w:szCs w:val="24"/>
        </w:rPr>
        <w:t xml:space="preserve"> denial of bail would be proper in any case in which a prison term is imposed, regardless of off</w:t>
      </w:r>
      <w:r w:rsidR="00A000C9">
        <w:rPr>
          <w:rFonts w:eastAsia="Bookman Old Style"/>
          <w:szCs w:val="24"/>
        </w:rPr>
        <w:t>-</w:t>
      </w:r>
      <w:r w:rsidR="000345FC" w:rsidRPr="006F5709">
        <w:rPr>
          <w:rFonts w:eastAsia="Bookman Old Style"/>
          <w:szCs w:val="24"/>
        </w:rPr>
        <w:t>setting factors presented by defendant.”</w:t>
      </w:r>
      <w:r w:rsidR="000345FC" w:rsidRPr="006F5709">
        <w:rPr>
          <w:rStyle w:val="FootnoteReference"/>
          <w:rFonts w:eastAsia="Bookman Old Style"/>
          <w:szCs w:val="24"/>
        </w:rPr>
        <w:footnoteReference w:id="30"/>
      </w:r>
      <w:r w:rsidR="000345FC" w:rsidRPr="006F5709">
        <w:rPr>
          <w:rFonts w:eastAsia="Bookman Old Style"/>
          <w:szCs w:val="24"/>
        </w:rPr>
        <w:t xml:space="preserve"> </w:t>
      </w:r>
      <w:r w:rsidR="00170417" w:rsidRPr="006F5709">
        <w:rPr>
          <w:rFonts w:eastAsia="Bookman Old Style"/>
          <w:szCs w:val="24"/>
        </w:rPr>
        <w:t>“The nature of the offense charged, not the punishment actually faced, controls the availability of bail.”</w:t>
      </w:r>
      <w:r w:rsidR="00170417" w:rsidRPr="006F5709">
        <w:rPr>
          <w:rStyle w:val="FootnoteReference"/>
          <w:rFonts w:eastAsia="Bookman Old Style"/>
          <w:szCs w:val="24"/>
        </w:rPr>
        <w:footnoteReference w:id="31"/>
      </w:r>
    </w:p>
    <w:p w14:paraId="5C5DB946" w14:textId="6F669012" w:rsidR="007B4C6C" w:rsidRPr="006F5709" w:rsidRDefault="0036467C" w:rsidP="00DA6CE9">
      <w:pPr>
        <w:spacing w:line="360" w:lineRule="auto"/>
        <w:rPr>
          <w:rFonts w:eastAsia="Bookman Old Style"/>
          <w:szCs w:val="24"/>
        </w:rPr>
      </w:pPr>
      <w:r w:rsidRPr="006F5709">
        <w:rPr>
          <w:rFonts w:eastAsia="Bookman Old Style"/>
          <w:szCs w:val="24"/>
        </w:rPr>
        <w:lastRenderedPageBreak/>
        <w:t>Finally, the California Supreme Court</w:t>
      </w:r>
      <w:r w:rsidR="00691F0E">
        <w:rPr>
          <w:rFonts w:eastAsia="Bookman Old Style"/>
          <w:szCs w:val="24"/>
        </w:rPr>
        <w:t xml:space="preserve"> </w:t>
      </w:r>
      <w:r w:rsidRPr="006F5709">
        <w:rPr>
          <w:rFonts w:eastAsia="Bookman Old Style"/>
          <w:szCs w:val="24"/>
        </w:rPr>
        <w:t>cautioned trial judges to be mindful that pretrial detention has a practical impact on even an innocent defendant's decision whether to negotiate a plea</w:t>
      </w:r>
      <w:r w:rsidR="00691F0E">
        <w:rPr>
          <w:rFonts w:eastAsia="Bookman Old Style"/>
          <w:szCs w:val="24"/>
        </w:rPr>
        <w:t xml:space="preserve">, </w:t>
      </w:r>
      <w:r w:rsidRPr="006F5709">
        <w:rPr>
          <w:rFonts w:eastAsia="Bookman Old Style"/>
          <w:szCs w:val="24"/>
        </w:rPr>
        <w:t>citing research showing that a</w:t>
      </w:r>
      <w:r w:rsidR="006E0CEE" w:rsidRPr="006F5709">
        <w:rPr>
          <w:rFonts w:eastAsia="Bookman Old Style"/>
          <w:szCs w:val="24"/>
        </w:rPr>
        <w:t xml:space="preserve"> </w:t>
      </w:r>
      <w:r w:rsidRPr="006F5709">
        <w:rPr>
          <w:rFonts w:eastAsia="Bookman Old Style"/>
          <w:szCs w:val="24"/>
        </w:rPr>
        <w:t>defendant in custody naturally has a greater incentive to plead guilty than does a defendant on pretrial release, especially if the time to trial roughly matches the defendant's potential sentence exposure.</w:t>
      </w:r>
      <w:r w:rsidRPr="006F5709">
        <w:rPr>
          <w:rStyle w:val="FootnoteReference"/>
          <w:rFonts w:eastAsia="Bookman Old Style"/>
          <w:szCs w:val="24"/>
        </w:rPr>
        <w:footnoteReference w:id="32"/>
      </w:r>
    </w:p>
    <w:p w14:paraId="279B8542" w14:textId="3871EAA2" w:rsidR="00386A00" w:rsidRPr="006F5709" w:rsidRDefault="00586E78" w:rsidP="00850DFF">
      <w:pPr>
        <w:pStyle w:val="Heading1"/>
        <w:numPr>
          <w:ilvl w:val="0"/>
          <w:numId w:val="21"/>
        </w:numPr>
        <w:pBdr>
          <w:top w:val="nil"/>
          <w:left w:val="nil"/>
          <w:bottom w:val="nil"/>
          <w:right w:val="nil"/>
          <w:between w:val="nil"/>
        </w:pBdr>
        <w:spacing w:after="240" w:line="240" w:lineRule="auto"/>
        <w:rPr>
          <w:rFonts w:ascii="Century Schoolbook" w:eastAsia="Bookman Old Style" w:hAnsi="Century Schoolbook"/>
          <w:sz w:val="24"/>
          <w:szCs w:val="24"/>
        </w:rPr>
      </w:pPr>
      <w:r>
        <w:rPr>
          <w:rFonts w:ascii="Century Schoolbook" w:eastAsia="Bookman Old Style" w:hAnsi="Century Schoolbook"/>
          <w:sz w:val="24"/>
          <w:szCs w:val="24"/>
        </w:rPr>
        <w:t>A</w:t>
      </w:r>
      <w:r w:rsidR="00690D7D">
        <w:rPr>
          <w:rFonts w:ascii="Century Schoolbook" w:eastAsia="Bookman Old Style" w:hAnsi="Century Schoolbook"/>
          <w:sz w:val="24"/>
          <w:szCs w:val="24"/>
        </w:rPr>
        <w:t>rticle 1, section 12</w:t>
      </w:r>
      <w:r>
        <w:rPr>
          <w:rFonts w:ascii="Century Schoolbook" w:eastAsia="Bookman Old Style" w:hAnsi="Century Schoolbook"/>
          <w:sz w:val="24"/>
          <w:szCs w:val="24"/>
        </w:rPr>
        <w:t xml:space="preserve"> exceptions aside</w:t>
      </w:r>
      <w:r w:rsidR="00690D7D">
        <w:rPr>
          <w:rFonts w:ascii="Century Schoolbook" w:eastAsia="Bookman Old Style" w:hAnsi="Century Schoolbook"/>
          <w:sz w:val="24"/>
          <w:szCs w:val="24"/>
        </w:rPr>
        <w:t>, pretrial detainees cannot be held based on public safety concerns</w:t>
      </w:r>
      <w:r w:rsidR="004836CD" w:rsidRPr="006F5709">
        <w:rPr>
          <w:rFonts w:ascii="Century Schoolbook" w:eastAsia="Bookman Old Style" w:hAnsi="Century Schoolbook"/>
          <w:sz w:val="24"/>
          <w:szCs w:val="24"/>
        </w:rPr>
        <w:t xml:space="preserve">.  </w:t>
      </w:r>
      <w:r w:rsidR="00386A00" w:rsidRPr="006F5709">
        <w:rPr>
          <w:rFonts w:ascii="Century Schoolbook" w:eastAsia="Bookman Old Style" w:hAnsi="Century Schoolbook"/>
          <w:sz w:val="24"/>
          <w:szCs w:val="24"/>
        </w:rPr>
        <w:t xml:space="preserve"> </w:t>
      </w:r>
    </w:p>
    <w:p w14:paraId="7F4BDA81" w14:textId="2D038AB8" w:rsidR="00434A0D" w:rsidRPr="006F5709" w:rsidRDefault="00386A00" w:rsidP="003E7704">
      <w:pPr>
        <w:spacing w:line="360" w:lineRule="auto"/>
        <w:rPr>
          <w:rFonts w:eastAsia="Bookman Old Style"/>
          <w:szCs w:val="24"/>
        </w:rPr>
      </w:pPr>
      <w:bookmarkStart w:id="5" w:name="_1fob9te" w:colFirst="0" w:colLast="0"/>
      <w:bookmarkEnd w:id="5"/>
      <w:r w:rsidRPr="006F5709">
        <w:rPr>
          <w:rFonts w:eastAsia="Bookman Old Style"/>
          <w:szCs w:val="24"/>
        </w:rPr>
        <w:t>Where a court’s concern is public safety, it can order a defendant detained after making the required findings under California Constitution article I, section 12(b) or (c)</w:t>
      </w:r>
      <w:r w:rsidR="00B57E63" w:rsidRPr="006F5709">
        <w:rPr>
          <w:rFonts w:eastAsia="Bookman Old Style"/>
          <w:szCs w:val="24"/>
        </w:rPr>
        <w:t xml:space="preserve">, </w:t>
      </w:r>
      <w:r w:rsidRPr="006F5709">
        <w:rPr>
          <w:rFonts w:eastAsia="Bookman Old Style"/>
          <w:szCs w:val="24"/>
        </w:rPr>
        <w:t xml:space="preserve">or it can order </w:t>
      </w:r>
      <w:r w:rsidRPr="006F5709">
        <w:rPr>
          <w:rFonts w:eastAsia="Bookman Old Style"/>
          <w:color w:val="000000"/>
          <w:szCs w:val="24"/>
        </w:rPr>
        <w:t>appropriate</w:t>
      </w:r>
      <w:r w:rsidR="00D277BA" w:rsidRPr="006F5709">
        <w:rPr>
          <w:rFonts w:eastAsia="Bookman Old Style"/>
          <w:color w:val="000000"/>
          <w:szCs w:val="24"/>
        </w:rPr>
        <w:t xml:space="preserve"> </w:t>
      </w:r>
      <w:r w:rsidRPr="006F5709">
        <w:rPr>
          <w:rFonts w:eastAsia="Bookman Old Style"/>
          <w:szCs w:val="24"/>
        </w:rPr>
        <w:t>non-fina</w:t>
      </w:r>
      <w:r w:rsidR="00B57E63" w:rsidRPr="006F5709">
        <w:rPr>
          <w:rFonts w:eastAsia="Bookman Old Style"/>
          <w:szCs w:val="24"/>
        </w:rPr>
        <w:t>ncial conditions of release.</w:t>
      </w:r>
      <w:r w:rsidR="00DC2163" w:rsidRPr="006F5709">
        <w:rPr>
          <w:rFonts w:eastAsia="Bookman Old Style"/>
          <w:szCs w:val="24"/>
        </w:rPr>
        <w:t xml:space="preserve"> </w:t>
      </w:r>
    </w:p>
    <w:p w14:paraId="2BF3E29D" w14:textId="3FBBB094" w:rsidR="00DC2163" w:rsidRPr="006F5709" w:rsidRDefault="002B00C9" w:rsidP="003E7704">
      <w:pPr>
        <w:spacing w:line="360" w:lineRule="auto"/>
        <w:rPr>
          <w:rFonts w:eastAsia="Bookman Old Style"/>
          <w:szCs w:val="24"/>
        </w:rPr>
      </w:pPr>
      <w:r w:rsidRPr="006F5709">
        <w:rPr>
          <w:rFonts w:eastAsia="Bookman Old Style"/>
          <w:szCs w:val="24"/>
        </w:rPr>
        <w:t>Money</w:t>
      </w:r>
      <w:r w:rsidR="00386A00" w:rsidRPr="006F5709">
        <w:rPr>
          <w:rFonts w:eastAsia="Bookman Old Style"/>
          <w:szCs w:val="24"/>
        </w:rPr>
        <w:t xml:space="preserve"> bail </w:t>
      </w:r>
      <w:r w:rsidR="00F7567E" w:rsidRPr="006F5709">
        <w:rPr>
          <w:rFonts w:eastAsia="Bookman Old Style"/>
          <w:szCs w:val="24"/>
        </w:rPr>
        <w:t>should not</w:t>
      </w:r>
      <w:r w:rsidR="00386A00" w:rsidRPr="006F5709">
        <w:rPr>
          <w:rFonts w:eastAsia="Bookman Old Style"/>
          <w:szCs w:val="24"/>
        </w:rPr>
        <w:t xml:space="preserve"> be imposed in response to concerns about public safety. </w:t>
      </w:r>
      <w:r w:rsidR="00DC2163" w:rsidRPr="006F5709">
        <w:rPr>
          <w:rFonts w:eastAsia="Bookman Old Style"/>
          <w:iCs/>
          <w:szCs w:val="24"/>
        </w:rPr>
        <w:t>“</w:t>
      </w:r>
      <w:r w:rsidR="00DC2163" w:rsidRPr="006F5709">
        <w:rPr>
          <w:rFonts w:eastAsia="Bookman Old Style"/>
          <w:i/>
          <w:szCs w:val="24"/>
        </w:rPr>
        <w:t>Money bail…has no logical connection to protection of the public, as bail is not forfeited upon commission of additional crimes</w:t>
      </w:r>
      <w:r w:rsidR="00DA6CE9">
        <w:rPr>
          <w:rFonts w:eastAsia="Bookman Old Style"/>
          <w:szCs w:val="24"/>
        </w:rPr>
        <w:t>…</w:t>
      </w:r>
      <w:r w:rsidR="00DC2163" w:rsidRPr="006F5709">
        <w:rPr>
          <w:rFonts w:eastAsia="Bookman Old Style"/>
          <w:szCs w:val="24"/>
        </w:rPr>
        <w:t xml:space="preserve"> </w:t>
      </w:r>
      <w:r w:rsidR="00DC2163" w:rsidRPr="006F5709">
        <w:rPr>
          <w:rFonts w:eastAsia="Bookman Old Style"/>
          <w:szCs w:val="24"/>
          <w:highlight w:val="white"/>
        </w:rPr>
        <w:t>Accordingly, when the court’s concern is protection of the public rather than flight, imposition of money bail in an amount exceeding the defendant’s ability to pay unjustifiably relieves the court of the obligation to inquire whether less restrictive alternatives to detention could adequately protect public or victim safety and, if necessary, explain the reasons detention is required.”</w:t>
      </w:r>
      <w:r w:rsidR="00DC2163" w:rsidRPr="006F5709">
        <w:rPr>
          <w:rFonts w:eastAsia="Bookman Old Style"/>
          <w:szCs w:val="24"/>
          <w:vertAlign w:val="superscript"/>
        </w:rPr>
        <w:footnoteReference w:id="33"/>
      </w:r>
      <w:r w:rsidR="00DC2163" w:rsidRPr="006F5709">
        <w:rPr>
          <w:rFonts w:eastAsia="Bookman Old Style"/>
          <w:szCs w:val="24"/>
        </w:rPr>
        <w:t xml:space="preserve"> “The state constitution requires state courts to set </w:t>
      </w:r>
      <w:r w:rsidR="00DC2163" w:rsidRPr="006F5709">
        <w:rPr>
          <w:rFonts w:eastAsia="Bookman Old Style"/>
          <w:szCs w:val="24"/>
        </w:rPr>
        <w:lastRenderedPageBreak/>
        <w:t>bail in cases [where defendant is not eligible for detention under article I, section 12], yet it has no rational basis for doing so where the defendant only poses a threat to public safety—not a flight risk.”</w:t>
      </w:r>
      <w:r w:rsidR="00DC2163" w:rsidRPr="006F5709">
        <w:rPr>
          <w:rStyle w:val="FootnoteReference"/>
          <w:rFonts w:eastAsia="Bookman Old Style"/>
          <w:szCs w:val="24"/>
        </w:rPr>
        <w:footnoteReference w:id="34"/>
      </w:r>
    </w:p>
    <w:p w14:paraId="7470A022" w14:textId="118EE8D0" w:rsidR="00386A00" w:rsidRDefault="00386A00" w:rsidP="003E7704">
      <w:pPr>
        <w:spacing w:line="360" w:lineRule="auto"/>
        <w:rPr>
          <w:rFonts w:eastAsia="Bookman Old Style"/>
          <w:szCs w:val="24"/>
        </w:rPr>
      </w:pPr>
      <w:r w:rsidRPr="006F5709">
        <w:rPr>
          <w:rFonts w:eastAsia="Bookman Old Style"/>
          <w:szCs w:val="24"/>
        </w:rPr>
        <w:t>Money bail can have no deterrent effect on new criminal activity as a matter of l</w:t>
      </w:r>
      <w:r w:rsidR="004D116C" w:rsidRPr="006F5709">
        <w:rPr>
          <w:rFonts w:eastAsia="Bookman Old Style"/>
          <w:szCs w:val="24"/>
        </w:rPr>
        <w:t>aw,</w:t>
      </w:r>
      <w:r w:rsidRPr="006F5709">
        <w:rPr>
          <w:rFonts w:eastAsia="Bookman Old Style"/>
          <w:szCs w:val="24"/>
        </w:rPr>
        <w:t xml:space="preserve"> because committing a crime while out on money bail does not result in forfeiture of bail.</w:t>
      </w:r>
      <w:r w:rsidRPr="006F5709">
        <w:rPr>
          <w:rFonts w:eastAsia="Bookman Old Style"/>
          <w:szCs w:val="24"/>
          <w:vertAlign w:val="superscript"/>
        </w:rPr>
        <w:footnoteReference w:id="35"/>
      </w:r>
      <w:r w:rsidRPr="006F5709">
        <w:rPr>
          <w:rFonts w:eastAsia="Bookman Old Style"/>
          <w:szCs w:val="24"/>
        </w:rPr>
        <w:t xml:space="preserve"> </w:t>
      </w:r>
      <w:r w:rsidR="004D116C" w:rsidRPr="006F5709">
        <w:rPr>
          <w:rFonts w:eastAsia="Bookman Old Style"/>
          <w:szCs w:val="24"/>
        </w:rPr>
        <w:t>T</w:t>
      </w:r>
      <w:r w:rsidRPr="006F5709">
        <w:rPr>
          <w:rFonts w:eastAsia="Bookman Old Style"/>
          <w:szCs w:val="24"/>
        </w:rPr>
        <w:t xml:space="preserve">he court’s only valid interest in imposing money bail is reasonably assuring </w:t>
      </w:r>
      <w:r w:rsidR="00D277BA" w:rsidRPr="006F5709">
        <w:rPr>
          <w:rFonts w:eastAsia="Bookman Old Style"/>
          <w:szCs w:val="24"/>
        </w:rPr>
        <w:t>appearance</w:t>
      </w:r>
      <w:r w:rsidR="006272E7" w:rsidRPr="006F5709">
        <w:rPr>
          <w:rFonts w:eastAsia="Bookman Old Style"/>
          <w:szCs w:val="24"/>
        </w:rPr>
        <w:t xml:space="preserve"> in court</w:t>
      </w:r>
      <w:r w:rsidRPr="006F5709">
        <w:rPr>
          <w:rFonts w:eastAsia="Bookman Old Style"/>
          <w:szCs w:val="24"/>
        </w:rPr>
        <w:t>.</w:t>
      </w:r>
    </w:p>
    <w:p w14:paraId="60A2B025" w14:textId="77777777" w:rsidR="0032004D" w:rsidRPr="006F5709" w:rsidRDefault="0032004D" w:rsidP="0032004D">
      <w:pPr>
        <w:spacing w:line="360" w:lineRule="auto"/>
        <w:rPr>
          <w:rFonts w:eastAsia="Bookman Old Style"/>
          <w:szCs w:val="24"/>
        </w:rPr>
      </w:pPr>
      <w:r w:rsidRPr="006F5709">
        <w:rPr>
          <w:rFonts w:eastAsia="Bookman Old Style"/>
          <w:szCs w:val="24"/>
        </w:rPr>
        <w:t xml:space="preserve">Because </w:t>
      </w:r>
      <w:r w:rsidRPr="006F5709">
        <w:rPr>
          <w:rFonts w:eastAsia="Bookman Old Style"/>
          <w:szCs w:val="24"/>
          <w:highlight w:val="yellow"/>
        </w:rPr>
        <w:t>_______</w:t>
      </w:r>
      <w:r w:rsidRPr="006F5709">
        <w:rPr>
          <w:rFonts w:eastAsia="Bookman Old Style"/>
          <w:szCs w:val="24"/>
        </w:rPr>
        <w:t xml:space="preserve">’s case does not fall into the categories of cases eligible for pretrial detention under an exception specified in </w:t>
      </w:r>
      <w:r>
        <w:rPr>
          <w:rFonts w:eastAsia="Bookman Old Style"/>
          <w:szCs w:val="24"/>
        </w:rPr>
        <w:t xml:space="preserve">California Constitution, article I, </w:t>
      </w:r>
      <w:r w:rsidRPr="006F5709">
        <w:rPr>
          <w:rFonts w:eastAsia="Bookman Old Style"/>
          <w:szCs w:val="24"/>
        </w:rPr>
        <w:t>section 12(b) or (c),</w:t>
      </w:r>
      <w:r>
        <w:rPr>
          <w:rStyle w:val="FootnoteReference"/>
          <w:rFonts w:eastAsia="Bookman Old Style"/>
          <w:szCs w:val="24"/>
        </w:rPr>
        <w:footnoteReference w:id="36"/>
      </w:r>
      <w:r w:rsidRPr="006F5709">
        <w:rPr>
          <w:rFonts w:eastAsia="Bookman Old Style"/>
          <w:szCs w:val="24"/>
        </w:rPr>
        <w:t xml:space="preserve"> the court should address any public safety concerns through non-monetary conditions of release.</w:t>
      </w:r>
    </w:p>
    <w:p w14:paraId="1FBC388E" w14:textId="4589D46B" w:rsidR="00053CBB" w:rsidRPr="006F5709" w:rsidRDefault="0032004D" w:rsidP="003E7704">
      <w:pPr>
        <w:spacing w:line="360" w:lineRule="auto"/>
        <w:rPr>
          <w:rFonts w:eastAsia="Bookman Old Style"/>
          <w:szCs w:val="24"/>
        </w:rPr>
      </w:pPr>
      <w:r w:rsidRPr="0032004D">
        <w:rPr>
          <w:rFonts w:eastAsia="Bookman Old Style"/>
          <w:szCs w:val="24"/>
        </w:rPr>
        <w:t xml:space="preserve">In addition, </w:t>
      </w:r>
      <w:r w:rsidR="00C221E6" w:rsidRPr="006F5709">
        <w:rPr>
          <w:rFonts w:eastAsia="Bookman Old Style"/>
          <w:szCs w:val="24"/>
          <w:highlight w:val="yellow"/>
        </w:rPr>
        <w:t>________</w:t>
      </w:r>
      <w:r w:rsidR="00C221E6" w:rsidRPr="006F5709">
        <w:rPr>
          <w:rFonts w:eastAsia="Bookman Old Style"/>
          <w:szCs w:val="24"/>
        </w:rPr>
        <w:t xml:space="preserve"> </w:t>
      </w:r>
      <w:r w:rsidR="00D277BA" w:rsidRPr="006F5709">
        <w:rPr>
          <w:rFonts w:eastAsia="Bookman Old Style"/>
          <w:szCs w:val="24"/>
        </w:rPr>
        <w:t xml:space="preserve">poses no significant risk to public safety </w:t>
      </w:r>
      <w:r w:rsidR="00053CBB" w:rsidRPr="006F5709">
        <w:rPr>
          <w:rFonts w:eastAsia="Bookman Old Style"/>
          <w:szCs w:val="24"/>
        </w:rPr>
        <w:t xml:space="preserve">or the victim’s safety. </w:t>
      </w:r>
      <w:r w:rsidR="00C221E6" w:rsidRPr="006F5709">
        <w:rPr>
          <w:rFonts w:eastAsia="Bookman Old Style"/>
          <w:szCs w:val="24"/>
          <w:highlight w:val="yellow"/>
        </w:rPr>
        <w:t>_______</w:t>
      </w:r>
      <w:r w:rsidR="00C221E6" w:rsidRPr="006F5709">
        <w:rPr>
          <w:rFonts w:eastAsia="Bookman Old Style"/>
          <w:szCs w:val="24"/>
        </w:rPr>
        <w:t xml:space="preserve"> </w:t>
      </w:r>
      <w:r w:rsidR="00053CBB" w:rsidRPr="006F5709">
        <w:rPr>
          <w:rFonts w:eastAsia="Bookman Old Style"/>
          <w:szCs w:val="24"/>
        </w:rPr>
        <w:t xml:space="preserve">has </w:t>
      </w:r>
      <w:r w:rsidR="00C221E6" w:rsidRPr="006F5709">
        <w:rPr>
          <w:rFonts w:eastAsia="Bookman Old Style"/>
          <w:szCs w:val="24"/>
        </w:rPr>
        <w:t>[</w:t>
      </w:r>
      <w:r w:rsidR="00053CBB" w:rsidRPr="006F5709">
        <w:rPr>
          <w:rFonts w:eastAsia="Bookman Old Style"/>
          <w:szCs w:val="24"/>
          <w:highlight w:val="yellow"/>
        </w:rPr>
        <w:t>no prior convictions/no convictions for dangerous offenses/etc</w:t>
      </w:r>
      <w:r w:rsidR="0060451A">
        <w:rPr>
          <w:rFonts w:eastAsia="Bookman Old Style"/>
          <w:szCs w:val="24"/>
        </w:rPr>
        <w:t>.</w:t>
      </w:r>
      <w:r w:rsidR="00C221E6" w:rsidRPr="0060451A">
        <w:rPr>
          <w:rFonts w:eastAsia="Bookman Old Style"/>
          <w:szCs w:val="24"/>
        </w:rPr>
        <w:t>]</w:t>
      </w:r>
      <w:r w:rsidR="00053CBB" w:rsidRPr="0060451A">
        <w:rPr>
          <w:rFonts w:eastAsia="Bookman Old Style"/>
          <w:szCs w:val="24"/>
        </w:rPr>
        <w:t>.</w:t>
      </w:r>
      <w:r w:rsidR="00053CBB" w:rsidRPr="0060451A">
        <w:rPr>
          <w:rFonts w:eastAsia="Bookman Old Style"/>
          <w:szCs w:val="24"/>
          <w:vertAlign w:val="superscript"/>
        </w:rPr>
        <w:footnoteReference w:id="37"/>
      </w:r>
      <w:r w:rsidR="00053CBB" w:rsidRPr="006F5709">
        <w:rPr>
          <w:rFonts w:eastAsia="Bookman Old Style"/>
          <w:szCs w:val="24"/>
        </w:rPr>
        <w:t xml:space="preserve">  In addition, the Public Safety Assessment (“PSA”) Report recommends </w:t>
      </w:r>
      <w:r w:rsidR="00C221E6" w:rsidRPr="006F5709">
        <w:rPr>
          <w:rFonts w:eastAsia="Bookman Old Style"/>
          <w:szCs w:val="24"/>
        </w:rPr>
        <w:t>[</w:t>
      </w:r>
      <w:r w:rsidR="00C221E6" w:rsidRPr="006F5709">
        <w:rPr>
          <w:rFonts w:eastAsia="Bookman Old Style"/>
          <w:szCs w:val="24"/>
          <w:highlight w:val="yellow"/>
        </w:rPr>
        <w:t>r</w:t>
      </w:r>
      <w:r w:rsidR="00053CBB" w:rsidRPr="006F5709">
        <w:rPr>
          <w:rFonts w:eastAsia="Bookman Old Style"/>
          <w:szCs w:val="24"/>
          <w:highlight w:val="yellow"/>
        </w:rPr>
        <w:t>eleas</w:t>
      </w:r>
      <w:r w:rsidR="00C221E6" w:rsidRPr="006F5709">
        <w:rPr>
          <w:rFonts w:eastAsia="Bookman Old Style"/>
          <w:szCs w:val="24"/>
          <w:highlight w:val="yellow"/>
        </w:rPr>
        <w:t>e with or without conditions</w:t>
      </w:r>
      <w:r w:rsidR="00C221E6" w:rsidRPr="006F5709">
        <w:rPr>
          <w:rFonts w:eastAsia="Bookman Old Style"/>
          <w:szCs w:val="24"/>
        </w:rPr>
        <w:t>…]</w:t>
      </w:r>
      <w:r w:rsidR="00053CBB" w:rsidRPr="006F5709">
        <w:rPr>
          <w:rFonts w:eastAsia="Bookman Old Style"/>
          <w:szCs w:val="24"/>
        </w:rPr>
        <w:t xml:space="preserve"> </w:t>
      </w:r>
      <w:r w:rsidR="00053CBB" w:rsidRPr="006F5709">
        <w:rPr>
          <w:rFonts w:eastAsia="Bookman Old Style"/>
          <w:szCs w:val="24"/>
          <w:vertAlign w:val="superscript"/>
        </w:rPr>
        <w:footnoteReference w:id="38"/>
      </w:r>
      <w:r w:rsidR="00053CBB" w:rsidRPr="006F5709">
        <w:rPr>
          <w:rFonts w:eastAsia="Bookman Old Style"/>
          <w:szCs w:val="24"/>
        </w:rPr>
        <w:t xml:space="preserve"> </w:t>
      </w:r>
      <w:r w:rsidR="00C221E6" w:rsidRPr="006F5709">
        <w:rPr>
          <w:rFonts w:eastAsia="Bookman Old Style"/>
          <w:szCs w:val="24"/>
        </w:rPr>
        <w:t>[</w:t>
      </w:r>
      <w:r w:rsidR="00053CBB" w:rsidRPr="006F5709">
        <w:rPr>
          <w:rFonts w:eastAsia="Bookman Old Style"/>
          <w:szCs w:val="24"/>
          <w:highlight w:val="yellow"/>
        </w:rPr>
        <w:t xml:space="preserve">Other facts suggesting s/he is not </w:t>
      </w:r>
      <w:r w:rsidR="00053CBB" w:rsidRPr="006F5709">
        <w:rPr>
          <w:rFonts w:eastAsia="Bookman Old Style"/>
          <w:szCs w:val="24"/>
          <w:highlight w:val="yellow"/>
        </w:rPr>
        <w:lastRenderedPageBreak/>
        <w:t>dangerous, e.g. age/low score on PSA/character evidence</w:t>
      </w:r>
      <w:r w:rsidR="00C221E6" w:rsidRPr="006F5709">
        <w:rPr>
          <w:rFonts w:eastAsia="Bookman Old Style"/>
          <w:szCs w:val="24"/>
          <w:highlight w:val="yellow"/>
        </w:rPr>
        <w:t>]</w:t>
      </w:r>
      <w:r w:rsidR="00053CBB" w:rsidRPr="006F5709">
        <w:rPr>
          <w:rFonts w:eastAsia="Bookman Old Style"/>
          <w:szCs w:val="24"/>
          <w:highlight w:val="yellow"/>
        </w:rPr>
        <w:t>.</w:t>
      </w:r>
      <w:r w:rsidR="00053CBB" w:rsidRPr="006F5709">
        <w:rPr>
          <w:rFonts w:eastAsia="Bookman Old Style"/>
          <w:szCs w:val="24"/>
        </w:rPr>
        <w:t xml:space="preserve"> </w:t>
      </w:r>
      <w:r w:rsidR="004D116C" w:rsidRPr="006F5709">
        <w:rPr>
          <w:rFonts w:eastAsia="Bookman Old Style"/>
          <w:szCs w:val="24"/>
        </w:rPr>
        <w:t>So</w:t>
      </w:r>
      <w:r w:rsidR="00053CBB" w:rsidRPr="006F5709">
        <w:rPr>
          <w:rFonts w:eastAsia="Bookman Old Style"/>
          <w:szCs w:val="24"/>
        </w:rPr>
        <w:t xml:space="preserve">, any concerns this court has about public safety can be appropriately addressed by non-monetary conditions of release. </w:t>
      </w:r>
    </w:p>
    <w:p w14:paraId="12D27156" w14:textId="3C59AA55" w:rsidR="00A46F3B" w:rsidRPr="006F5709" w:rsidRDefault="00053CBB" w:rsidP="003E7704">
      <w:pPr>
        <w:spacing w:after="120" w:line="360" w:lineRule="auto"/>
        <w:rPr>
          <w:rFonts w:eastAsia="Bookman Old Style"/>
          <w:szCs w:val="24"/>
        </w:rPr>
      </w:pPr>
      <w:r w:rsidRPr="006F5709">
        <w:rPr>
          <w:rFonts w:eastAsia="Bookman Old Style"/>
          <w:szCs w:val="24"/>
        </w:rPr>
        <w:t xml:space="preserve">The court could impose </w:t>
      </w:r>
      <w:r w:rsidR="00C221E6" w:rsidRPr="006F5709">
        <w:rPr>
          <w:rFonts w:eastAsia="Bookman Old Style"/>
          <w:szCs w:val="24"/>
        </w:rPr>
        <w:t>[</w:t>
      </w:r>
      <w:r w:rsidRPr="006F5709">
        <w:rPr>
          <w:rFonts w:eastAsia="Bookman Old Style"/>
          <w:szCs w:val="24"/>
          <w:highlight w:val="yellow"/>
        </w:rPr>
        <w:t>a stay-away order/a no-weapons condition/protective orders/alcohol monitors/substance abuse counseling and testing/anger management counseling/curfew/home confinement/GPS monitoring</w:t>
      </w:r>
      <w:r w:rsidR="00C221E6" w:rsidRPr="006F5709">
        <w:rPr>
          <w:rFonts w:eastAsia="Bookman Old Style"/>
          <w:szCs w:val="24"/>
          <w:highlight w:val="yellow"/>
        </w:rPr>
        <w:t>]</w:t>
      </w:r>
      <w:r w:rsidRPr="006F5709">
        <w:rPr>
          <w:rFonts w:eastAsia="Bookman Old Style"/>
          <w:szCs w:val="24"/>
          <w:highlight w:val="yellow"/>
        </w:rPr>
        <w:t>.</w:t>
      </w:r>
      <w:r w:rsidRPr="006F5709">
        <w:rPr>
          <w:rFonts w:eastAsia="Bookman Old Style"/>
          <w:szCs w:val="24"/>
        </w:rPr>
        <w:t xml:space="preserve"> These alternatives are not only constitutional, but they are cheaper, more effective, </w:t>
      </w:r>
      <w:r w:rsidR="00BB7876" w:rsidRPr="006F5709">
        <w:rPr>
          <w:rFonts w:eastAsia="Bookman Old Style"/>
          <w:szCs w:val="24"/>
        </w:rPr>
        <w:t>and far less intrusive than pretrial detention.</w:t>
      </w:r>
    </w:p>
    <w:p w14:paraId="0D29A72F" w14:textId="2ECED822" w:rsidR="000B7B47" w:rsidRPr="006F5709" w:rsidRDefault="000B7B47" w:rsidP="00850DFF">
      <w:pPr>
        <w:pStyle w:val="Heading1"/>
        <w:numPr>
          <w:ilvl w:val="0"/>
          <w:numId w:val="21"/>
        </w:numPr>
        <w:pBdr>
          <w:top w:val="nil"/>
          <w:left w:val="nil"/>
          <w:bottom w:val="nil"/>
          <w:right w:val="nil"/>
          <w:between w:val="nil"/>
        </w:pBdr>
        <w:spacing w:after="240" w:line="240" w:lineRule="auto"/>
        <w:rPr>
          <w:rFonts w:ascii="Century Schoolbook" w:eastAsia="Bookman Old Style" w:hAnsi="Century Schoolbook"/>
          <w:sz w:val="24"/>
          <w:szCs w:val="24"/>
        </w:rPr>
      </w:pPr>
      <w:r w:rsidRPr="006F5709">
        <w:rPr>
          <w:rFonts w:ascii="Century Schoolbook" w:eastAsia="Bookman Old Style" w:hAnsi="Century Schoolbook"/>
          <w:sz w:val="24"/>
          <w:szCs w:val="24"/>
        </w:rPr>
        <w:t xml:space="preserve">Failing to reduce the jail population to lessen the risks of COVID-19 amounts to </w:t>
      </w:r>
      <w:r w:rsidR="001229F8" w:rsidRPr="006F5709">
        <w:rPr>
          <w:rFonts w:ascii="Century Schoolbook" w:eastAsia="Bookman Old Style" w:hAnsi="Century Schoolbook"/>
          <w:sz w:val="24"/>
          <w:szCs w:val="24"/>
        </w:rPr>
        <w:t>“</w:t>
      </w:r>
      <w:r w:rsidRPr="006F5709">
        <w:rPr>
          <w:rFonts w:ascii="Century Schoolbook" w:eastAsia="Bookman Old Style" w:hAnsi="Century Schoolbook"/>
          <w:sz w:val="24"/>
          <w:szCs w:val="24"/>
        </w:rPr>
        <w:t>deliberate indifference</w:t>
      </w:r>
      <w:r w:rsidR="001229F8" w:rsidRPr="006F5709">
        <w:rPr>
          <w:rFonts w:ascii="Century Schoolbook" w:eastAsia="Bookman Old Style" w:hAnsi="Century Schoolbook"/>
          <w:sz w:val="24"/>
          <w:szCs w:val="24"/>
        </w:rPr>
        <w:t>”</w:t>
      </w:r>
      <w:r w:rsidR="00093E8B" w:rsidRPr="006F5709">
        <w:rPr>
          <w:rFonts w:ascii="Century Schoolbook" w:eastAsia="Bookman Old Style" w:hAnsi="Century Schoolbook"/>
          <w:sz w:val="24"/>
          <w:szCs w:val="24"/>
        </w:rPr>
        <w:t xml:space="preserve"> to the health of detainees</w:t>
      </w:r>
      <w:r w:rsidRPr="006F5709">
        <w:rPr>
          <w:rFonts w:ascii="Century Schoolbook" w:eastAsia="Bookman Old Style" w:hAnsi="Century Schoolbook"/>
          <w:sz w:val="24"/>
          <w:szCs w:val="24"/>
        </w:rPr>
        <w:t>.</w:t>
      </w:r>
    </w:p>
    <w:p w14:paraId="1E9775E7" w14:textId="34AEC912" w:rsidR="00E83911" w:rsidRPr="006F5709" w:rsidRDefault="009E470F" w:rsidP="003E7704">
      <w:pPr>
        <w:spacing w:line="360" w:lineRule="auto"/>
        <w:ind w:firstLine="0"/>
        <w:rPr>
          <w:rFonts w:eastAsia="Bookman Old Style"/>
          <w:szCs w:val="24"/>
        </w:rPr>
      </w:pPr>
      <w:r w:rsidRPr="006F5709">
        <w:rPr>
          <w:rFonts w:eastAsia="Bookman Old Style"/>
          <w:szCs w:val="24"/>
        </w:rPr>
        <w:t xml:space="preserve">     The Eighth Amendment to the United States Constitution and article I, section 17 of the California Constitution forbid </w:t>
      </w:r>
      <w:r w:rsidR="00263791" w:rsidRPr="006F5709">
        <w:rPr>
          <w:rFonts w:eastAsia="Bookman Old Style"/>
          <w:szCs w:val="24"/>
        </w:rPr>
        <w:t xml:space="preserve">the state </w:t>
      </w:r>
      <w:r w:rsidRPr="006F5709">
        <w:rPr>
          <w:rFonts w:eastAsia="Bookman Old Style"/>
          <w:szCs w:val="24"/>
        </w:rPr>
        <w:t>from acting with “deliberate indifference to serious medical needs”</w:t>
      </w:r>
      <w:r w:rsidR="00263791" w:rsidRPr="006F5709">
        <w:rPr>
          <w:rFonts w:eastAsia="Bookman Old Style"/>
          <w:szCs w:val="24"/>
        </w:rPr>
        <w:t xml:space="preserve"> of incarcerated persons.</w:t>
      </w:r>
      <w:r w:rsidRPr="006F5709">
        <w:rPr>
          <w:rStyle w:val="FootnoteReference"/>
          <w:rFonts w:eastAsia="Bookman Old Style"/>
          <w:szCs w:val="24"/>
        </w:rPr>
        <w:footnoteReference w:id="39"/>
      </w:r>
      <w:r w:rsidRPr="006F5709">
        <w:rPr>
          <w:rFonts w:eastAsia="Bookman Old Style"/>
          <w:szCs w:val="24"/>
        </w:rPr>
        <w:t xml:space="preserve"> </w:t>
      </w:r>
      <w:r w:rsidR="00263791" w:rsidRPr="006F5709">
        <w:rPr>
          <w:rFonts w:eastAsia="Bookman Old Style"/>
          <w:szCs w:val="24"/>
        </w:rPr>
        <w:t>The state</w:t>
      </w:r>
      <w:r w:rsidRPr="006F5709">
        <w:rPr>
          <w:rFonts w:eastAsia="Bookman Old Style"/>
          <w:szCs w:val="24"/>
        </w:rPr>
        <w:t xml:space="preserve"> “may not be “‘deliberately indifferent to the exposure of inmates to a serious communicable disease,’ and the placement of inmates in places to which infectious diseases could easily spread constitutes a constitutional violation.”</w:t>
      </w:r>
      <w:r w:rsidR="001F709C" w:rsidRPr="006F5709">
        <w:rPr>
          <w:rStyle w:val="FootnoteReference"/>
          <w:rFonts w:eastAsia="Bookman Old Style"/>
          <w:szCs w:val="24"/>
        </w:rPr>
        <w:footnoteReference w:id="40"/>
      </w:r>
    </w:p>
    <w:p w14:paraId="30647A87" w14:textId="6CA0BB65" w:rsidR="00263791" w:rsidRPr="006F5709" w:rsidRDefault="00263791" w:rsidP="003E7704">
      <w:pPr>
        <w:spacing w:line="360" w:lineRule="auto"/>
        <w:ind w:firstLine="0"/>
        <w:rPr>
          <w:rFonts w:eastAsia="Bookman Old Style"/>
          <w:szCs w:val="24"/>
        </w:rPr>
      </w:pPr>
      <w:r w:rsidRPr="006F5709">
        <w:rPr>
          <w:rFonts w:eastAsia="Bookman Old Style"/>
          <w:szCs w:val="24"/>
        </w:rPr>
        <w:t xml:space="preserve">     If government fails to fulfill this obligation, the courts have a responsibility to remedy the resulting Eighth Amendment violation.</w:t>
      </w:r>
      <w:r w:rsidRPr="006F5709">
        <w:rPr>
          <w:rStyle w:val="FootnoteReference"/>
          <w:rFonts w:eastAsia="Bookman Old Style"/>
          <w:szCs w:val="24"/>
        </w:rPr>
        <w:footnoteReference w:id="41"/>
      </w:r>
      <w:r w:rsidR="005D1F3B" w:rsidRPr="006F5709">
        <w:rPr>
          <w:szCs w:val="24"/>
        </w:rPr>
        <w:t xml:space="preserve"> </w:t>
      </w:r>
      <w:r w:rsidR="005D1F3B" w:rsidRPr="006F5709">
        <w:rPr>
          <w:rFonts w:eastAsia="Bookman Old Style"/>
          <w:szCs w:val="24"/>
        </w:rPr>
        <w:t>Courts must not shrink from their obligation to “enforce the constitutional rights of all ‘persons,’ including prisoners.”</w:t>
      </w:r>
      <w:r w:rsidR="005D1F3B" w:rsidRPr="006F5709">
        <w:rPr>
          <w:rStyle w:val="FootnoteReference"/>
          <w:rFonts w:eastAsia="Bookman Old Style"/>
          <w:szCs w:val="24"/>
        </w:rPr>
        <w:footnoteReference w:id="42"/>
      </w:r>
    </w:p>
    <w:p w14:paraId="57CFA85E" w14:textId="77777777" w:rsidR="00E83911" w:rsidRPr="006F5709" w:rsidRDefault="00E83911" w:rsidP="003E7704">
      <w:pPr>
        <w:spacing w:line="360" w:lineRule="auto"/>
        <w:ind w:firstLine="0"/>
        <w:rPr>
          <w:rFonts w:eastAsia="Bookman Old Style"/>
          <w:szCs w:val="24"/>
        </w:rPr>
      </w:pPr>
      <w:r w:rsidRPr="006F5709">
        <w:rPr>
          <w:rFonts w:eastAsia="Bookman Old Style"/>
          <w:szCs w:val="24"/>
        </w:rPr>
        <w:lastRenderedPageBreak/>
        <w:t xml:space="preserve">     </w:t>
      </w:r>
      <w:r w:rsidR="009E470F" w:rsidRPr="006F5709">
        <w:rPr>
          <w:rFonts w:eastAsia="Bookman Old Style"/>
          <w:szCs w:val="24"/>
        </w:rPr>
        <w:t>Under the equal protection clause,</w:t>
      </w:r>
      <w:r w:rsidRPr="006F5709">
        <w:rPr>
          <w:rFonts w:eastAsia="Bookman Old Style"/>
          <w:szCs w:val="24"/>
        </w:rPr>
        <w:t xml:space="preserve"> these constitutional standards apply to pretrial detainees who are</w:t>
      </w:r>
      <w:r w:rsidR="009E470F" w:rsidRPr="006F5709">
        <w:rPr>
          <w:rFonts w:eastAsia="Bookman Old Style"/>
          <w:szCs w:val="24"/>
        </w:rPr>
        <w:t xml:space="preserve"> entitled to be treated no worse than a convicted prisoner unless there is some justification for the different treatment.</w:t>
      </w:r>
      <w:r w:rsidR="001F709C" w:rsidRPr="006F5709">
        <w:rPr>
          <w:rStyle w:val="FootnoteReference"/>
          <w:rFonts w:eastAsia="Bookman Old Style"/>
          <w:szCs w:val="24"/>
        </w:rPr>
        <w:footnoteReference w:id="43"/>
      </w:r>
      <w:r w:rsidR="009E470F" w:rsidRPr="006F5709">
        <w:rPr>
          <w:rFonts w:eastAsia="Bookman Old Style"/>
          <w:szCs w:val="24"/>
        </w:rPr>
        <w:t xml:space="preserve"> </w:t>
      </w:r>
      <w:r w:rsidR="001F709C" w:rsidRPr="006F5709">
        <w:rPr>
          <w:rFonts w:eastAsia="Bookman Old Style"/>
          <w:szCs w:val="24"/>
        </w:rPr>
        <w:t xml:space="preserve">The </w:t>
      </w:r>
      <w:r w:rsidR="009E470F" w:rsidRPr="006F5709">
        <w:rPr>
          <w:rFonts w:eastAsia="Bookman Old Style"/>
          <w:szCs w:val="24"/>
        </w:rPr>
        <w:t>Ninth Circuit has held that, when a pretrial detainee alleges that a jail has failed to provide adequate medical care, the standard is “objective deliberate indifference”</w:t>
      </w:r>
      <w:r w:rsidR="001F709C" w:rsidRPr="006F5709">
        <w:rPr>
          <w:rFonts w:eastAsia="Bookman Old Style"/>
          <w:szCs w:val="24"/>
        </w:rPr>
        <w:t>;</w:t>
      </w:r>
      <w:r w:rsidR="009E470F" w:rsidRPr="006F5709">
        <w:rPr>
          <w:rFonts w:eastAsia="Bookman Old Style"/>
          <w:szCs w:val="24"/>
        </w:rPr>
        <w:t xml:space="preserve"> unlike in the Eighth Amendment context, it need not be proved that the jail authorities were subjectively aware of the risk of harm.</w:t>
      </w:r>
      <w:r w:rsidR="001F709C" w:rsidRPr="006F5709">
        <w:rPr>
          <w:rStyle w:val="FootnoteReference"/>
          <w:rFonts w:eastAsia="Bookman Old Style"/>
          <w:szCs w:val="24"/>
        </w:rPr>
        <w:footnoteReference w:id="44"/>
      </w:r>
    </w:p>
    <w:p w14:paraId="55CC2DD1" w14:textId="1AF9460F" w:rsidR="009E470F" w:rsidRPr="006F5709" w:rsidRDefault="00F16149" w:rsidP="003E7704">
      <w:pPr>
        <w:spacing w:after="120" w:line="360" w:lineRule="auto"/>
        <w:ind w:firstLine="0"/>
        <w:rPr>
          <w:rFonts w:eastAsia="Bookman Old Style"/>
          <w:szCs w:val="24"/>
        </w:rPr>
      </w:pPr>
      <w:bookmarkStart w:id="6" w:name="_Hlk57639459"/>
      <w:r>
        <w:rPr>
          <w:rFonts w:eastAsia="Bookman Old Style"/>
          <w:szCs w:val="24"/>
        </w:rPr>
        <w:t xml:space="preserve">     Here, </w:t>
      </w:r>
      <w:r w:rsidR="00686FFC" w:rsidRPr="006F5709">
        <w:rPr>
          <w:rFonts w:eastAsia="Bookman Old Style"/>
          <w:szCs w:val="24"/>
        </w:rPr>
        <w:t>the state is</w:t>
      </w:r>
      <w:r w:rsidR="00FC69DE" w:rsidRPr="006F5709">
        <w:rPr>
          <w:rFonts w:eastAsia="Bookman Old Style"/>
          <w:szCs w:val="24"/>
        </w:rPr>
        <w:t xml:space="preserve"> </w:t>
      </w:r>
      <w:r w:rsidR="009E470F" w:rsidRPr="006F5709">
        <w:rPr>
          <w:rFonts w:eastAsia="Bookman Old Style"/>
          <w:szCs w:val="24"/>
        </w:rPr>
        <w:t xml:space="preserve">acting with deliberate indifference to the risk of a COVID-19 outbreak by disregarding </w:t>
      </w:r>
      <w:r w:rsidR="00FC69DE" w:rsidRPr="006F5709">
        <w:rPr>
          <w:rFonts w:eastAsia="Bookman Old Style"/>
          <w:szCs w:val="24"/>
        </w:rPr>
        <w:t xml:space="preserve">Dr. Pratt’s </w:t>
      </w:r>
      <w:r w:rsidR="009E470F" w:rsidRPr="006F5709">
        <w:rPr>
          <w:rFonts w:eastAsia="Bookman Old Style"/>
          <w:szCs w:val="24"/>
        </w:rPr>
        <w:t xml:space="preserve">urgent recommendation to reduce jail capacity. </w:t>
      </w:r>
      <w:r w:rsidR="00FC69DE" w:rsidRPr="006F5709">
        <w:rPr>
          <w:rFonts w:eastAsia="Bookman Old Style"/>
          <w:szCs w:val="24"/>
        </w:rPr>
        <w:t xml:space="preserve">Dr. Pratt </w:t>
      </w:r>
      <w:r w:rsidR="009852EC" w:rsidRPr="006F5709">
        <w:rPr>
          <w:rFonts w:eastAsia="Bookman Old Style"/>
          <w:szCs w:val="24"/>
        </w:rPr>
        <w:t>concluded</w:t>
      </w:r>
      <w:r w:rsidR="00FC69DE" w:rsidRPr="006F5709">
        <w:rPr>
          <w:rFonts w:eastAsia="Bookman Old Style"/>
          <w:szCs w:val="24"/>
        </w:rPr>
        <w:t xml:space="preserve"> there</w:t>
      </w:r>
      <w:r w:rsidR="009E470F" w:rsidRPr="006F5709">
        <w:rPr>
          <w:rFonts w:eastAsia="Bookman Old Style"/>
          <w:szCs w:val="24"/>
        </w:rPr>
        <w:t xml:space="preserve"> are “not nearly enough” cells appropriate for COVID isolation or quarantine, since the “overwhelming majority” of the jail’s 448 quarantine-suitable cells are taken up by inmates who need celled housing for security reasons. She asks for “aggressive strategies to reduce the jail population,” and</w:t>
      </w:r>
      <w:r w:rsidR="00CC253F">
        <w:rPr>
          <w:rFonts w:eastAsia="Bookman Old Style"/>
          <w:szCs w:val="24"/>
        </w:rPr>
        <w:t xml:space="preserve"> r</w:t>
      </w:r>
      <w:r w:rsidR="009E470F" w:rsidRPr="006F5709">
        <w:rPr>
          <w:rFonts w:eastAsia="Bookman Old Style"/>
          <w:szCs w:val="24"/>
        </w:rPr>
        <w:t>ecommends a goal of 600 inmates.</w:t>
      </w:r>
      <w:r w:rsidR="004A7668" w:rsidRPr="006F5709">
        <w:rPr>
          <w:rStyle w:val="FootnoteReference"/>
          <w:rFonts w:eastAsia="Bookman Old Style"/>
          <w:szCs w:val="24"/>
        </w:rPr>
        <w:footnoteReference w:id="45"/>
      </w:r>
    </w:p>
    <w:p w14:paraId="2E52AA3D" w14:textId="48B3C71A" w:rsidR="00A46F3B" w:rsidRPr="006F5709" w:rsidRDefault="00C221E6" w:rsidP="00850DFF">
      <w:pPr>
        <w:pStyle w:val="Heading1"/>
        <w:numPr>
          <w:ilvl w:val="0"/>
          <w:numId w:val="21"/>
        </w:numPr>
        <w:pBdr>
          <w:top w:val="nil"/>
          <w:left w:val="nil"/>
          <w:bottom w:val="nil"/>
          <w:right w:val="nil"/>
          <w:between w:val="nil"/>
        </w:pBdr>
        <w:spacing w:after="240" w:line="240" w:lineRule="auto"/>
        <w:rPr>
          <w:rFonts w:ascii="Century Schoolbook" w:eastAsia="Bookman Old Style" w:hAnsi="Century Schoolbook"/>
          <w:sz w:val="24"/>
          <w:szCs w:val="24"/>
        </w:rPr>
      </w:pPr>
      <w:bookmarkStart w:id="7" w:name="_Hlk57634183"/>
      <w:bookmarkEnd w:id="6"/>
      <w:r w:rsidRPr="006F5709">
        <w:rPr>
          <w:rFonts w:ascii="Century Schoolbook" w:eastAsia="Bookman Old Style" w:hAnsi="Century Schoolbook"/>
          <w:sz w:val="24"/>
          <w:szCs w:val="24"/>
          <w:highlight w:val="yellow"/>
        </w:rPr>
        <w:t>_______</w:t>
      </w:r>
      <w:r w:rsidRPr="006F5709">
        <w:rPr>
          <w:rFonts w:ascii="Century Schoolbook" w:eastAsia="Bookman Old Style" w:hAnsi="Century Schoolbook"/>
          <w:sz w:val="24"/>
          <w:szCs w:val="24"/>
        </w:rPr>
        <w:t>’s</w:t>
      </w:r>
      <w:r w:rsidR="00A46F3B" w:rsidRPr="006F5709">
        <w:rPr>
          <w:rFonts w:ascii="Century Schoolbook" w:eastAsia="Bookman Old Style" w:hAnsi="Century Schoolbook"/>
          <w:sz w:val="24"/>
          <w:szCs w:val="24"/>
        </w:rPr>
        <w:t xml:space="preserve"> pretrial incarceration will exacerbate this County’s practice of disproportionately setting higher bails for African Americans and Latinos.</w:t>
      </w:r>
    </w:p>
    <w:bookmarkEnd w:id="7"/>
    <w:p w14:paraId="1794FEAB" w14:textId="2BB6B936" w:rsidR="0054120A" w:rsidRPr="006F5709" w:rsidRDefault="0054120A" w:rsidP="003E7704">
      <w:pPr>
        <w:spacing w:line="360" w:lineRule="auto"/>
        <w:rPr>
          <w:rFonts w:eastAsia="Bookman Old Style"/>
          <w:szCs w:val="24"/>
        </w:rPr>
      </w:pPr>
      <w:r w:rsidRPr="006F5709">
        <w:rPr>
          <w:rFonts w:eastAsia="Bookman Old Style"/>
          <w:szCs w:val="24"/>
        </w:rPr>
        <w:t xml:space="preserve">On September 30, 2020, the Governor signed into law AB 2542, the California Racial Justice Act, </w:t>
      </w:r>
      <w:r w:rsidR="005F25DD" w:rsidRPr="006F5709">
        <w:rPr>
          <w:rFonts w:eastAsia="Bookman Old Style"/>
          <w:szCs w:val="24"/>
        </w:rPr>
        <w:t xml:space="preserve">to take </w:t>
      </w:r>
      <w:r w:rsidRPr="006F5709">
        <w:rPr>
          <w:rFonts w:eastAsia="Bookman Old Style"/>
          <w:szCs w:val="24"/>
        </w:rPr>
        <w:t>effec</w:t>
      </w:r>
      <w:r w:rsidR="005F25DD" w:rsidRPr="006F5709">
        <w:rPr>
          <w:rFonts w:eastAsia="Bookman Old Style"/>
          <w:szCs w:val="24"/>
        </w:rPr>
        <w:t>t on</w:t>
      </w:r>
      <w:r w:rsidRPr="006F5709">
        <w:rPr>
          <w:rFonts w:eastAsia="Bookman Old Style"/>
          <w:szCs w:val="24"/>
        </w:rPr>
        <w:t xml:space="preserve"> January 1, 2021.</w:t>
      </w:r>
      <w:r w:rsidRPr="006F5709">
        <w:rPr>
          <w:rStyle w:val="FootnoteReference"/>
          <w:rFonts w:eastAsia="Bookman Old Style"/>
          <w:szCs w:val="24"/>
        </w:rPr>
        <w:footnoteReference w:id="46"/>
      </w:r>
      <w:r w:rsidR="0048327B" w:rsidRPr="006F5709">
        <w:rPr>
          <w:rFonts w:eastAsia="Bookman Old Style"/>
          <w:szCs w:val="24"/>
        </w:rPr>
        <w:t xml:space="preserve"> </w:t>
      </w:r>
      <w:r w:rsidR="005F25DD" w:rsidRPr="006F5709">
        <w:rPr>
          <w:rFonts w:eastAsia="Bookman Old Style"/>
          <w:szCs w:val="24"/>
        </w:rPr>
        <w:t xml:space="preserve">Among the legislative findings is the recognition that race discrimination has had a deleterious effect on our </w:t>
      </w:r>
      <w:r w:rsidR="006F1C35" w:rsidRPr="006F5709">
        <w:rPr>
          <w:rFonts w:eastAsia="Bookman Old Style"/>
          <w:szCs w:val="24"/>
        </w:rPr>
        <w:lastRenderedPageBreak/>
        <w:t xml:space="preserve">entire </w:t>
      </w:r>
      <w:r w:rsidR="005F25DD" w:rsidRPr="006F5709">
        <w:rPr>
          <w:rFonts w:eastAsia="Bookman Old Style"/>
          <w:szCs w:val="24"/>
        </w:rPr>
        <w:t>criminal justice system</w:t>
      </w:r>
      <w:r w:rsidR="006F1C35" w:rsidRPr="006F5709">
        <w:rPr>
          <w:rFonts w:eastAsia="Bookman Old Style"/>
          <w:szCs w:val="24"/>
        </w:rPr>
        <w:t>, and that current law has proven insufficient in addressing the systemic bias</w:t>
      </w:r>
      <w:r w:rsidR="005F25DD" w:rsidRPr="006F5709">
        <w:rPr>
          <w:rFonts w:eastAsia="Bookman Old Style"/>
          <w:szCs w:val="24"/>
        </w:rPr>
        <w:t>.</w:t>
      </w:r>
      <w:r w:rsidR="00617218" w:rsidRPr="006F5709">
        <w:rPr>
          <w:rStyle w:val="FootnoteReference"/>
          <w:rFonts w:eastAsia="Bookman Old Style"/>
          <w:szCs w:val="24"/>
        </w:rPr>
        <w:footnoteReference w:id="47"/>
      </w:r>
      <w:r w:rsidR="005F25DD" w:rsidRPr="006F5709">
        <w:rPr>
          <w:rFonts w:eastAsia="Bookman Old Style"/>
          <w:szCs w:val="24"/>
        </w:rPr>
        <w:t xml:space="preserve"> </w:t>
      </w:r>
      <w:r w:rsidR="0054254B" w:rsidRPr="006F5709">
        <w:rPr>
          <w:rFonts w:eastAsia="Bookman Old Style"/>
          <w:szCs w:val="24"/>
        </w:rPr>
        <w:t>Written into the law is t</w:t>
      </w:r>
      <w:r w:rsidR="0048327B" w:rsidRPr="006F5709">
        <w:rPr>
          <w:rFonts w:eastAsia="Bookman Old Style"/>
          <w:szCs w:val="24"/>
        </w:rPr>
        <w:t>he legislature</w:t>
      </w:r>
      <w:r w:rsidR="0050620E" w:rsidRPr="006F5709">
        <w:rPr>
          <w:rFonts w:eastAsia="Bookman Old Style"/>
          <w:szCs w:val="24"/>
        </w:rPr>
        <w:t>’s</w:t>
      </w:r>
      <w:r w:rsidR="0048327B" w:rsidRPr="006F5709">
        <w:rPr>
          <w:rFonts w:eastAsia="Bookman Old Style"/>
          <w:szCs w:val="24"/>
        </w:rPr>
        <w:t xml:space="preserve"> explicit intent to provide remedies to “eliminate racial bias” in all forms, including implicit</w:t>
      </w:r>
      <w:r w:rsidR="005F25DD" w:rsidRPr="006F5709">
        <w:rPr>
          <w:rFonts w:eastAsia="Bookman Old Style"/>
          <w:szCs w:val="24"/>
        </w:rPr>
        <w:t xml:space="preserve"> and unintentional</w:t>
      </w:r>
      <w:r w:rsidR="0048327B" w:rsidRPr="006F5709">
        <w:rPr>
          <w:rFonts w:eastAsia="Bookman Old Style"/>
          <w:szCs w:val="24"/>
        </w:rPr>
        <w:t xml:space="preserve"> bias.</w:t>
      </w:r>
      <w:r w:rsidR="0048327B" w:rsidRPr="006F5709">
        <w:rPr>
          <w:rStyle w:val="FootnoteReference"/>
          <w:rFonts w:eastAsia="Bookman Old Style"/>
          <w:szCs w:val="24"/>
        </w:rPr>
        <w:footnoteReference w:id="48"/>
      </w:r>
      <w:r w:rsidR="00E8026F" w:rsidRPr="006F5709">
        <w:rPr>
          <w:rFonts w:eastAsia="Bookman Old Style"/>
          <w:szCs w:val="24"/>
        </w:rPr>
        <w:t xml:space="preserve"> As shown below, our current bail system disproportionately keeps Black and Brown defendants in pretrial detention often because they cannot afford to pay bail. </w:t>
      </w:r>
    </w:p>
    <w:p w14:paraId="3459B044" w14:textId="34C22868" w:rsidR="00A46F3B" w:rsidRPr="006F5709" w:rsidRDefault="00A46F3B" w:rsidP="003E7704">
      <w:pPr>
        <w:spacing w:line="360" w:lineRule="auto"/>
        <w:rPr>
          <w:rFonts w:eastAsia="Bookman Old Style"/>
          <w:szCs w:val="24"/>
        </w:rPr>
      </w:pPr>
      <w:r w:rsidRPr="006F5709">
        <w:rPr>
          <w:rFonts w:eastAsia="Bookman Old Style"/>
          <w:szCs w:val="24"/>
        </w:rPr>
        <w:t>Research studies have consistently found that African American defendants receive harsher bail outcomes than those imposed on white defendants.</w:t>
      </w:r>
      <w:r w:rsidRPr="006F5709">
        <w:rPr>
          <w:rFonts w:eastAsia="Bookman Old Style"/>
          <w:szCs w:val="24"/>
          <w:vertAlign w:val="superscript"/>
        </w:rPr>
        <w:footnoteReference w:id="49"/>
      </w:r>
      <w:r w:rsidRPr="006F5709">
        <w:rPr>
          <w:rFonts w:eastAsia="Bookman Old Style"/>
          <w:szCs w:val="24"/>
        </w:rPr>
        <w:t xml:space="preserve"> Nearly every study on the impact of race in bail determinations concludes that African Americans are detained pretrial  at a higher rate with higher bail than are white arrestees with similar charges and criminal histories. Over twenty-five studies document racial disparities in bail determinations in state cases,</w:t>
      </w:r>
      <w:r w:rsidRPr="006F5709">
        <w:rPr>
          <w:rFonts w:eastAsia="Bookman Old Style"/>
          <w:szCs w:val="24"/>
          <w:vertAlign w:val="superscript"/>
        </w:rPr>
        <w:footnoteReference w:id="50"/>
      </w:r>
      <w:r w:rsidRPr="006F5709">
        <w:rPr>
          <w:rFonts w:eastAsia="Bookman Old Style"/>
          <w:szCs w:val="24"/>
        </w:rPr>
        <w:t xml:space="preserve"> federal </w:t>
      </w:r>
      <w:r w:rsidRPr="006F5709">
        <w:rPr>
          <w:rFonts w:eastAsia="Bookman Old Style"/>
          <w:szCs w:val="24"/>
        </w:rPr>
        <w:lastRenderedPageBreak/>
        <w:t>cases,</w:t>
      </w:r>
      <w:r w:rsidRPr="006F5709">
        <w:rPr>
          <w:rFonts w:eastAsia="Bookman Old Style"/>
          <w:szCs w:val="24"/>
          <w:vertAlign w:val="superscript"/>
        </w:rPr>
        <w:footnoteReference w:id="51"/>
      </w:r>
      <w:r w:rsidRPr="006F5709">
        <w:rPr>
          <w:rFonts w:eastAsia="Bookman Old Style"/>
          <w:szCs w:val="24"/>
        </w:rPr>
        <w:t xml:space="preserve"> and juvenile delinquency proceedings.</w:t>
      </w:r>
      <w:r w:rsidRPr="006F5709">
        <w:rPr>
          <w:rFonts w:eastAsia="Bookman Old Style"/>
          <w:szCs w:val="24"/>
          <w:vertAlign w:val="superscript"/>
        </w:rPr>
        <w:footnoteReference w:id="52"/>
      </w:r>
      <w:r w:rsidRPr="006F5709">
        <w:rPr>
          <w:rFonts w:eastAsia="Bookman Old Style"/>
          <w:szCs w:val="24"/>
        </w:rPr>
        <w:t xml:space="preserve"> The adverse impact of race and ethnicity on bail determinations is not isolated to particular regions of the country, but is a pervasive and widely-acknowledged problem, documented in vast areas of the country,</w:t>
      </w:r>
      <w:r w:rsidRPr="006F5709">
        <w:rPr>
          <w:rFonts w:eastAsia="Bookman Old Style"/>
          <w:szCs w:val="24"/>
          <w:vertAlign w:val="superscript"/>
        </w:rPr>
        <w:footnoteReference w:id="53"/>
      </w:r>
      <w:r w:rsidRPr="006F5709">
        <w:rPr>
          <w:rFonts w:eastAsia="Bookman Old Style"/>
          <w:szCs w:val="24"/>
        </w:rPr>
        <w:t xml:space="preserve"> and similarly affecting Latino defendants.</w:t>
      </w:r>
      <w:r w:rsidRPr="006F5709">
        <w:rPr>
          <w:rFonts w:eastAsia="Bookman Old Style"/>
          <w:szCs w:val="24"/>
          <w:vertAlign w:val="superscript"/>
        </w:rPr>
        <w:footnoteReference w:id="54"/>
      </w:r>
    </w:p>
    <w:p w14:paraId="6FCBECD4" w14:textId="77777777" w:rsidR="00A46F3B" w:rsidRPr="006F5709" w:rsidRDefault="00A46F3B" w:rsidP="003E7704">
      <w:pPr>
        <w:spacing w:line="360" w:lineRule="auto"/>
        <w:rPr>
          <w:rFonts w:eastAsia="Bookman Old Style"/>
          <w:szCs w:val="24"/>
        </w:rPr>
      </w:pPr>
      <w:r w:rsidRPr="006F5709">
        <w:rPr>
          <w:rFonts w:eastAsia="Bookman Old Style"/>
          <w:szCs w:val="24"/>
        </w:rPr>
        <w:t xml:space="preserve">Overall, the odds of similarly-situated African American and Latino defendants being held on bail because they could not pay the bond amounts imposed were </w:t>
      </w:r>
      <w:r w:rsidRPr="006F5709">
        <w:rPr>
          <w:rFonts w:eastAsia="Bookman Old Style"/>
          <w:i/>
          <w:szCs w:val="24"/>
        </w:rPr>
        <w:t>twice</w:t>
      </w:r>
      <w:r w:rsidRPr="006F5709">
        <w:rPr>
          <w:rFonts w:eastAsia="Bookman Old Style"/>
          <w:szCs w:val="24"/>
        </w:rPr>
        <w:t xml:space="preserve"> that of white defendants.</w:t>
      </w:r>
      <w:r w:rsidRPr="006F5709">
        <w:rPr>
          <w:rFonts w:eastAsia="Bookman Old Style"/>
          <w:szCs w:val="24"/>
          <w:vertAlign w:val="superscript"/>
        </w:rPr>
        <w:footnoteReference w:id="55"/>
      </w:r>
    </w:p>
    <w:p w14:paraId="4D539827" w14:textId="0E0FA33F" w:rsidR="005D6A23" w:rsidRPr="006F5709" w:rsidRDefault="00A46F3B" w:rsidP="003E7704">
      <w:pPr>
        <w:spacing w:line="360" w:lineRule="auto"/>
        <w:rPr>
          <w:rFonts w:eastAsia="Bookman Old Style"/>
          <w:szCs w:val="24"/>
        </w:rPr>
      </w:pPr>
      <w:r w:rsidRPr="006F5709">
        <w:rPr>
          <w:rFonts w:eastAsia="Bookman Old Style"/>
          <w:szCs w:val="24"/>
        </w:rPr>
        <w:lastRenderedPageBreak/>
        <w:t>This is a longstanding and pervasive inequity.</w:t>
      </w:r>
      <w:r w:rsidRPr="006F5709">
        <w:rPr>
          <w:rFonts w:eastAsia="Bookman Old Style"/>
          <w:szCs w:val="24"/>
          <w:vertAlign w:val="superscript"/>
        </w:rPr>
        <w:footnoteReference w:id="56"/>
      </w:r>
      <w:r w:rsidRPr="006F5709">
        <w:rPr>
          <w:rFonts w:eastAsia="Bookman Old Style"/>
          <w:szCs w:val="24"/>
        </w:rPr>
        <w:t xml:space="preserve"> </w:t>
      </w:r>
      <w:r w:rsidR="005D6A23" w:rsidRPr="006F5709">
        <w:rPr>
          <w:rFonts w:eastAsia="Bookman Old Style"/>
          <w:szCs w:val="24"/>
        </w:rPr>
        <w:t xml:space="preserve">The new Racial Justice Act mandates that the court remedy such blatant discrimination by releasing </w:t>
      </w:r>
      <w:r w:rsidR="005D6A23" w:rsidRPr="006F5709">
        <w:rPr>
          <w:rFonts w:eastAsia="Bookman Old Style"/>
          <w:szCs w:val="24"/>
          <w:highlight w:val="yellow"/>
        </w:rPr>
        <w:t>________</w:t>
      </w:r>
      <w:r w:rsidR="005D6A23" w:rsidRPr="006F5709">
        <w:rPr>
          <w:rFonts w:eastAsia="Bookman Old Style"/>
          <w:szCs w:val="24"/>
        </w:rPr>
        <w:t xml:space="preserve"> with conditions to ensure public safety and return to court, or by setting bail in an amount </w:t>
      </w:r>
      <w:r w:rsidR="00CC253F" w:rsidRPr="00CC253F">
        <w:rPr>
          <w:rFonts w:eastAsia="Bookman Old Style"/>
          <w:szCs w:val="24"/>
          <w:highlight w:val="yellow"/>
        </w:rPr>
        <w:t>he/she/they</w:t>
      </w:r>
      <w:r w:rsidR="005D6A23" w:rsidRPr="006F5709">
        <w:rPr>
          <w:rFonts w:eastAsia="Bookman Old Style"/>
          <w:szCs w:val="24"/>
        </w:rPr>
        <w:t xml:space="preserve"> can afford to pay.</w:t>
      </w:r>
    </w:p>
    <w:p w14:paraId="05543119" w14:textId="2741C0B1" w:rsidR="00386A00" w:rsidRPr="006F5709" w:rsidRDefault="00386A00" w:rsidP="003E7704">
      <w:pPr>
        <w:spacing w:line="360" w:lineRule="auto"/>
        <w:jc w:val="center"/>
        <w:rPr>
          <w:rFonts w:eastAsia="Bookman Old Style"/>
          <w:szCs w:val="24"/>
        </w:rPr>
      </w:pPr>
      <w:r w:rsidRPr="006F5709">
        <w:rPr>
          <w:rFonts w:eastAsia="Bookman Old Style"/>
          <w:b/>
          <w:szCs w:val="24"/>
        </w:rPr>
        <w:t>Conclusion</w:t>
      </w:r>
    </w:p>
    <w:p w14:paraId="1B3F38D6" w14:textId="37C4B7CD" w:rsidR="004D0D37" w:rsidRPr="006F5709" w:rsidRDefault="009332AA" w:rsidP="003E7704">
      <w:pPr>
        <w:spacing w:line="360" w:lineRule="auto"/>
        <w:rPr>
          <w:rFonts w:eastAsia="Bookman Old Style"/>
          <w:szCs w:val="24"/>
        </w:rPr>
      </w:pPr>
      <w:r w:rsidRPr="006F5709">
        <w:rPr>
          <w:rFonts w:eastAsia="Bookman Old Style"/>
          <w:szCs w:val="24"/>
          <w:highlight w:val="yellow"/>
        </w:rPr>
        <w:t>_________</w:t>
      </w:r>
      <w:r w:rsidRPr="006F5709">
        <w:rPr>
          <w:rFonts w:eastAsia="Bookman Old Style"/>
          <w:szCs w:val="24"/>
        </w:rPr>
        <w:t xml:space="preserve"> </w:t>
      </w:r>
      <w:r w:rsidR="00386A00" w:rsidRPr="006F5709">
        <w:rPr>
          <w:rFonts w:eastAsia="Bookman Old Style"/>
          <w:szCs w:val="24"/>
        </w:rPr>
        <w:t xml:space="preserve">should be granted own-recognizance release because </w:t>
      </w:r>
      <w:r w:rsidR="00CC253F" w:rsidRPr="00CC253F">
        <w:rPr>
          <w:rFonts w:eastAsia="Bookman Old Style"/>
          <w:szCs w:val="24"/>
          <w:highlight w:val="yellow"/>
        </w:rPr>
        <w:t>he/she/they</w:t>
      </w:r>
      <w:r w:rsidR="004D0D37" w:rsidRPr="006F5709">
        <w:rPr>
          <w:rFonts w:eastAsia="Bookman Old Style"/>
          <w:szCs w:val="24"/>
        </w:rPr>
        <w:t xml:space="preserve"> is neither a risk to public safety nor a flight risk. </w:t>
      </w:r>
      <w:r w:rsidR="004D0D37" w:rsidRPr="006F5709">
        <w:rPr>
          <w:rFonts w:eastAsia="Bookman Old Style"/>
          <w:szCs w:val="24"/>
          <w:highlight w:val="yellow"/>
        </w:rPr>
        <w:t>[Summarize your strongest factual argument].</w:t>
      </w:r>
      <w:r w:rsidR="004D0D37" w:rsidRPr="006F5709">
        <w:rPr>
          <w:rFonts w:eastAsia="Bookman Old Style"/>
          <w:szCs w:val="24"/>
        </w:rPr>
        <w:t xml:space="preserve"> [</w:t>
      </w:r>
      <w:r w:rsidR="004D0D37" w:rsidRPr="006F5709">
        <w:rPr>
          <w:rFonts w:eastAsia="Bookman Old Style"/>
          <w:szCs w:val="24"/>
          <w:highlight w:val="yellow"/>
        </w:rPr>
        <w:t>If applicable</w:t>
      </w:r>
      <w:r w:rsidR="004D0D37" w:rsidRPr="006F5709">
        <w:rPr>
          <w:rFonts w:eastAsia="Bookman Old Style"/>
          <w:szCs w:val="24"/>
        </w:rPr>
        <w:t xml:space="preserve">: </w:t>
      </w:r>
      <w:r w:rsidR="00933D93" w:rsidRPr="00CC253F">
        <w:rPr>
          <w:rFonts w:eastAsia="Bookman Old Style"/>
          <w:szCs w:val="24"/>
          <w:highlight w:val="yellow"/>
        </w:rPr>
        <w:t>He/she/they</w:t>
      </w:r>
      <w:r w:rsidR="004D0D37" w:rsidRPr="006F5709">
        <w:rPr>
          <w:rFonts w:eastAsia="Bookman Old Style"/>
          <w:szCs w:val="24"/>
        </w:rPr>
        <w:t xml:space="preserve"> is at higher risk of getting very sick from the pandemic </w:t>
      </w:r>
      <w:r w:rsidR="00933D93">
        <w:rPr>
          <w:rFonts w:eastAsia="Bookman Old Style"/>
          <w:szCs w:val="24"/>
        </w:rPr>
        <w:t xml:space="preserve">if kept detained </w:t>
      </w:r>
      <w:r w:rsidR="004D0D37" w:rsidRPr="006F5709">
        <w:rPr>
          <w:rFonts w:eastAsia="Bookman Old Style"/>
          <w:szCs w:val="24"/>
        </w:rPr>
        <w:t>in the county jail].</w:t>
      </w:r>
    </w:p>
    <w:p w14:paraId="46F2B676" w14:textId="77777777" w:rsidR="002F38A3" w:rsidRPr="006F5709" w:rsidRDefault="00386A00" w:rsidP="003E7704">
      <w:pPr>
        <w:spacing w:line="360" w:lineRule="auto"/>
        <w:rPr>
          <w:rFonts w:eastAsia="Bookman Old Style"/>
          <w:szCs w:val="24"/>
        </w:rPr>
      </w:pPr>
      <w:r w:rsidRPr="006F5709">
        <w:rPr>
          <w:rFonts w:eastAsia="Bookman Old Style"/>
          <w:szCs w:val="24"/>
        </w:rPr>
        <w:t xml:space="preserve">The court should address any concerns about public safety through non-monetary conditions of release and should address concerns about flight risk either with non-monetary conditions or with a financial condition of release </w:t>
      </w:r>
      <w:r w:rsidR="00E626E1" w:rsidRPr="006F5709">
        <w:rPr>
          <w:rFonts w:eastAsia="Bookman Old Style"/>
          <w:szCs w:val="24"/>
          <w:highlight w:val="yellow"/>
        </w:rPr>
        <w:t>________</w:t>
      </w:r>
      <w:r w:rsidR="00E626E1" w:rsidRPr="006F5709">
        <w:rPr>
          <w:rFonts w:eastAsia="Bookman Old Style"/>
          <w:szCs w:val="24"/>
        </w:rPr>
        <w:t xml:space="preserve"> can </w:t>
      </w:r>
      <w:r w:rsidRPr="006F5709">
        <w:rPr>
          <w:rFonts w:eastAsia="Bookman Old Style"/>
          <w:szCs w:val="24"/>
        </w:rPr>
        <w:t>attain.</w:t>
      </w:r>
    </w:p>
    <w:p w14:paraId="684EB82A" w14:textId="5B4CCEE6" w:rsidR="002F38A3" w:rsidRPr="006F5709" w:rsidRDefault="00A33497" w:rsidP="003E7704">
      <w:pPr>
        <w:spacing w:line="360" w:lineRule="auto"/>
        <w:ind w:firstLine="0"/>
        <w:rPr>
          <w:rFonts w:eastAsia="Bookman Old Style"/>
          <w:szCs w:val="24"/>
        </w:rPr>
      </w:pPr>
      <w:r w:rsidRPr="006F5709">
        <w:rPr>
          <w:rFonts w:eastAsia="Bookman Old Style"/>
          <w:szCs w:val="24"/>
        </w:rPr>
        <w:t xml:space="preserve">     Additionally, the court should release </w:t>
      </w:r>
      <w:r w:rsidRPr="006F5709">
        <w:rPr>
          <w:rFonts w:eastAsia="Bookman Old Style"/>
          <w:szCs w:val="24"/>
          <w:highlight w:val="yellow"/>
        </w:rPr>
        <w:t>_______</w:t>
      </w:r>
      <w:r w:rsidRPr="006F5709">
        <w:rPr>
          <w:rFonts w:eastAsia="Bookman Old Style"/>
          <w:szCs w:val="24"/>
        </w:rPr>
        <w:t xml:space="preserve"> with appropriate conditions to alleviate the potentially deadly situation in our jails.</w:t>
      </w:r>
    </w:p>
    <w:p w14:paraId="47D91C6A" w14:textId="77777777" w:rsidR="00386A00" w:rsidRPr="006F5709" w:rsidRDefault="00386A00" w:rsidP="003E7704">
      <w:pPr>
        <w:spacing w:line="360" w:lineRule="auto"/>
        <w:ind w:firstLine="0"/>
        <w:rPr>
          <w:rFonts w:eastAsia="Bookman Old Style"/>
          <w:szCs w:val="24"/>
        </w:rPr>
      </w:pPr>
      <w:r w:rsidRPr="006F5709">
        <w:rPr>
          <w:rFonts w:eastAsia="Bookman Old Style"/>
          <w:szCs w:val="24"/>
        </w:rPr>
        <w:t xml:space="preserve">Dated: </w:t>
      </w:r>
      <w:r w:rsidRPr="006F5709">
        <w:rPr>
          <w:rFonts w:eastAsia="Bookman Old Style"/>
          <w:szCs w:val="24"/>
          <w:highlight w:val="yellow"/>
        </w:rPr>
        <w:t>___________________</w:t>
      </w:r>
      <w:r w:rsidRPr="006F5709">
        <w:rPr>
          <w:rFonts w:eastAsia="Bookman Old Style"/>
          <w:szCs w:val="24"/>
        </w:rPr>
        <w:tab/>
      </w:r>
      <w:r w:rsidRPr="006F5709">
        <w:rPr>
          <w:rFonts w:eastAsia="Bookman Old Style"/>
          <w:szCs w:val="24"/>
        </w:rPr>
        <w:tab/>
        <w:t>Respectfully submitted,</w:t>
      </w:r>
    </w:p>
    <w:p w14:paraId="3F3F9D84" w14:textId="77777777" w:rsidR="00CC253F" w:rsidRDefault="00CC253F" w:rsidP="002B06DC">
      <w:pPr>
        <w:spacing w:line="240" w:lineRule="auto"/>
        <w:ind w:left="3600" w:firstLine="720"/>
        <w:rPr>
          <w:rFonts w:eastAsia="Bookman Old Style"/>
          <w:szCs w:val="24"/>
          <w:highlight w:val="yellow"/>
        </w:rPr>
      </w:pPr>
    </w:p>
    <w:p w14:paraId="4E9E3B20" w14:textId="1762AAD0" w:rsidR="00386A00" w:rsidRPr="006F5709" w:rsidRDefault="00386A00" w:rsidP="002B06DC">
      <w:pPr>
        <w:spacing w:line="240" w:lineRule="auto"/>
        <w:ind w:left="3600" w:firstLine="720"/>
        <w:rPr>
          <w:rFonts w:eastAsia="Bookman Old Style"/>
          <w:szCs w:val="24"/>
        </w:rPr>
      </w:pPr>
      <w:r w:rsidRPr="006F5709">
        <w:rPr>
          <w:rFonts w:eastAsia="Bookman Old Style"/>
          <w:szCs w:val="24"/>
          <w:highlight w:val="yellow"/>
        </w:rPr>
        <w:lastRenderedPageBreak/>
        <w:t>_______________________</w:t>
      </w:r>
    </w:p>
    <w:p w14:paraId="329D1C0C" w14:textId="1C4B57D1" w:rsidR="002B06DC" w:rsidRPr="006F5709" w:rsidRDefault="002B06DC" w:rsidP="002B06DC">
      <w:pPr>
        <w:spacing w:line="240" w:lineRule="auto"/>
        <w:ind w:left="3600" w:firstLine="720"/>
        <w:rPr>
          <w:rFonts w:eastAsia="Bookman Old Style"/>
          <w:szCs w:val="24"/>
        </w:rPr>
      </w:pPr>
      <w:r w:rsidRPr="006F5709">
        <w:rPr>
          <w:rFonts w:eastAsia="Bookman Old Style"/>
          <w:szCs w:val="24"/>
          <w:highlight w:val="yellow"/>
        </w:rPr>
        <w:t>_______________</w:t>
      </w:r>
    </w:p>
    <w:p w14:paraId="211E5BE7" w14:textId="30D33B77" w:rsidR="00386A00" w:rsidRPr="006F5709" w:rsidRDefault="00386A00" w:rsidP="002B06DC">
      <w:pPr>
        <w:spacing w:line="240" w:lineRule="auto"/>
        <w:ind w:left="3600" w:firstLine="720"/>
        <w:rPr>
          <w:rFonts w:eastAsia="Bookman Old Style"/>
          <w:szCs w:val="24"/>
        </w:rPr>
      </w:pPr>
      <w:r w:rsidRPr="006F5709">
        <w:rPr>
          <w:rFonts w:eastAsia="Bookman Old Style"/>
          <w:szCs w:val="24"/>
        </w:rPr>
        <w:t>Deputy Public Defender</w:t>
      </w:r>
    </w:p>
    <w:p w14:paraId="24B874A0" w14:textId="65DF9C28" w:rsidR="00BB3686" w:rsidRPr="006F5709" w:rsidRDefault="00386A00" w:rsidP="002B06DC">
      <w:pPr>
        <w:pStyle w:val="Half"/>
        <w:spacing w:line="240" w:lineRule="auto"/>
        <w:ind w:left="3600" w:firstLine="720"/>
        <w:rPr>
          <w:rFonts w:ascii="Century Schoolbook" w:hAnsi="Century Schoolbook"/>
          <w:sz w:val="24"/>
          <w:szCs w:val="24"/>
        </w:rPr>
      </w:pPr>
      <w:r w:rsidRPr="006F5709">
        <w:rPr>
          <w:rFonts w:ascii="Century Schoolbook" w:eastAsia="Bookman Old Style" w:hAnsi="Century Schoolbook"/>
          <w:sz w:val="24"/>
          <w:szCs w:val="24"/>
        </w:rPr>
        <w:t xml:space="preserve">Attorney for </w:t>
      </w:r>
      <w:r w:rsidR="002B06DC" w:rsidRPr="006F5709">
        <w:rPr>
          <w:rFonts w:ascii="Century Schoolbook" w:eastAsia="Bookman Old Style" w:hAnsi="Century Schoolbook"/>
          <w:sz w:val="24"/>
          <w:szCs w:val="24"/>
          <w:highlight w:val="yellow"/>
        </w:rPr>
        <w:t>________</w:t>
      </w:r>
    </w:p>
    <w:p w14:paraId="535EF172" w14:textId="77777777" w:rsidR="002D45D3" w:rsidRPr="006F5709" w:rsidRDefault="002D45D3" w:rsidP="002D45D3">
      <w:pPr>
        <w:pStyle w:val="Half"/>
        <w:rPr>
          <w:rFonts w:ascii="Century Schoolbook" w:hAnsi="Century Schoolbook"/>
          <w:sz w:val="24"/>
          <w:szCs w:val="24"/>
        </w:rPr>
      </w:pPr>
    </w:p>
    <w:p w14:paraId="7C617BA6" w14:textId="77777777" w:rsidR="00BB3686" w:rsidRPr="006F5709" w:rsidRDefault="00BB3686" w:rsidP="00386A00">
      <w:pPr>
        <w:ind w:firstLine="0"/>
        <w:rPr>
          <w:szCs w:val="24"/>
        </w:rPr>
      </w:pPr>
    </w:p>
    <w:p w14:paraId="42D19C52" w14:textId="77777777" w:rsidR="003D3176" w:rsidRPr="006F5709" w:rsidRDefault="003D3176" w:rsidP="00386A00">
      <w:pPr>
        <w:ind w:firstLine="0"/>
        <w:rPr>
          <w:szCs w:val="24"/>
        </w:rPr>
        <w:sectPr w:rsidR="003D3176" w:rsidRPr="006F5709" w:rsidSect="004264B4">
          <w:headerReference w:type="default" r:id="rId12"/>
          <w:footerReference w:type="default" r:id="rId13"/>
          <w:pgSz w:w="12240" w:h="15840" w:code="1"/>
          <w:pgMar w:top="1440" w:right="1440" w:bottom="1440" w:left="1440" w:header="720" w:footer="720" w:gutter="0"/>
          <w:cols w:space="720"/>
          <w:docGrid w:linePitch="272"/>
        </w:sectPr>
      </w:pPr>
    </w:p>
    <w:p w14:paraId="7E66C9EE" w14:textId="04BAE875" w:rsidR="00A46F3B" w:rsidRDefault="00A46F3B" w:rsidP="003D3176">
      <w:pPr>
        <w:pStyle w:val="Title"/>
        <w:numPr>
          <w:ilvl w:val="0"/>
          <w:numId w:val="0"/>
        </w:numPr>
        <w:spacing w:line="480" w:lineRule="exact"/>
        <w:ind w:left="360"/>
        <w:rPr>
          <w:rFonts w:ascii="Century Schoolbook" w:eastAsia="Bookman Old Style" w:hAnsi="Century Schoolbook"/>
          <w:sz w:val="24"/>
          <w:szCs w:val="24"/>
        </w:rPr>
      </w:pPr>
      <w:r w:rsidRPr="006F5709">
        <w:rPr>
          <w:rFonts w:ascii="Century Schoolbook" w:eastAsia="Bookman Old Style" w:hAnsi="Century Schoolbook"/>
          <w:sz w:val="24"/>
          <w:szCs w:val="24"/>
        </w:rPr>
        <w:lastRenderedPageBreak/>
        <w:t>Declaration of Counsel</w:t>
      </w:r>
    </w:p>
    <w:p w14:paraId="117477B2" w14:textId="77777777" w:rsidR="002B6755" w:rsidRPr="002B6755" w:rsidRDefault="002B6755" w:rsidP="002B6755">
      <w:pPr>
        <w:rPr>
          <w:rFonts w:eastAsia="Bookman Old Style"/>
        </w:rPr>
      </w:pPr>
    </w:p>
    <w:p w14:paraId="485DAEFD" w14:textId="77777777"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I declare:</w:t>
      </w:r>
    </w:p>
    <w:p w14:paraId="4D0EFFBE" w14:textId="77777777"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I am a deputy public defender for San Francisco County and</w:t>
      </w:r>
      <w:r w:rsidR="00CF4281" w:rsidRPr="006F5709">
        <w:rPr>
          <w:rFonts w:eastAsia="Bookman Old Style"/>
          <w:szCs w:val="24"/>
        </w:rPr>
        <w:t>,</w:t>
      </w:r>
      <w:r w:rsidRPr="006F5709">
        <w:rPr>
          <w:rFonts w:eastAsia="Bookman Old Style"/>
          <w:szCs w:val="24"/>
        </w:rPr>
        <w:t xml:space="preserve"> in that capacity</w:t>
      </w:r>
      <w:r w:rsidR="00CF4281" w:rsidRPr="006F5709">
        <w:rPr>
          <w:rFonts w:eastAsia="Bookman Old Style"/>
          <w:szCs w:val="24"/>
        </w:rPr>
        <w:t>,</w:t>
      </w:r>
      <w:r w:rsidRPr="006F5709">
        <w:rPr>
          <w:rFonts w:eastAsia="Bookman Old Style"/>
          <w:szCs w:val="24"/>
        </w:rPr>
        <w:t xml:space="preserve"> I represent the defendant.</w:t>
      </w:r>
    </w:p>
    <w:p w14:paraId="53760213" w14:textId="77777777"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 xml:space="preserve">All information in the Statement of the Case and Facts of the attached motion is taken from my review of discovery provided by the state.  </w:t>
      </w:r>
    </w:p>
    <w:p w14:paraId="6BAF2C92" w14:textId="51EB77F9"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 xml:space="preserve">All information in the Statement of Facts about </w:t>
      </w:r>
      <w:r w:rsidR="00B315C1" w:rsidRPr="006F5709">
        <w:rPr>
          <w:rFonts w:eastAsia="Bookman Old Style"/>
          <w:szCs w:val="24"/>
          <w:highlight w:val="yellow"/>
        </w:rPr>
        <w:t>________</w:t>
      </w:r>
      <w:r w:rsidR="00B315C1" w:rsidRPr="006F5709">
        <w:rPr>
          <w:rFonts w:eastAsia="Bookman Old Style"/>
          <w:szCs w:val="24"/>
        </w:rPr>
        <w:t xml:space="preserve"> </w:t>
      </w:r>
      <w:r w:rsidRPr="006F5709">
        <w:rPr>
          <w:rFonts w:eastAsia="Bookman Old Style"/>
          <w:szCs w:val="24"/>
        </w:rPr>
        <w:t xml:space="preserve">of the attached motion is taken from </w:t>
      </w:r>
      <w:r w:rsidRPr="006F5709">
        <w:rPr>
          <w:rFonts w:eastAsia="Bookman Old Style"/>
          <w:szCs w:val="24"/>
          <w:highlight w:val="yellow"/>
        </w:rPr>
        <w:t>conversations with, letters by, emails by, and declarations of [IF RELEVANT]: defendant and family and friends [IF RELEVANT – add any other people as necessary].</w:t>
      </w:r>
    </w:p>
    <w:p w14:paraId="115D51AD" w14:textId="77777777" w:rsidR="00B315C1" w:rsidRPr="006F5709" w:rsidRDefault="00B315C1" w:rsidP="002B6755">
      <w:pPr>
        <w:tabs>
          <w:tab w:val="left" w:pos="0"/>
          <w:tab w:val="left" w:pos="360"/>
        </w:tabs>
        <w:spacing w:line="360" w:lineRule="auto"/>
        <w:rPr>
          <w:rFonts w:eastAsia="Bookman Old Style"/>
          <w:color w:val="000000"/>
          <w:szCs w:val="24"/>
        </w:rPr>
      </w:pPr>
      <w:r w:rsidRPr="006F5709">
        <w:rPr>
          <w:rFonts w:eastAsia="Bookman Old Style"/>
          <w:color w:val="000000"/>
          <w:szCs w:val="24"/>
        </w:rPr>
        <w:t>I am informed and believe that:</w:t>
      </w:r>
    </w:p>
    <w:p w14:paraId="441325E6" w14:textId="77777777" w:rsidR="00B315C1" w:rsidRPr="006F5709" w:rsidRDefault="00B315C1" w:rsidP="002B6755">
      <w:pPr>
        <w:tabs>
          <w:tab w:val="left" w:pos="0"/>
          <w:tab w:val="left" w:pos="360"/>
        </w:tabs>
        <w:spacing w:line="360" w:lineRule="auto"/>
        <w:rPr>
          <w:rFonts w:eastAsia="Bookman Old Style"/>
          <w:color w:val="000000"/>
          <w:szCs w:val="24"/>
        </w:rPr>
      </w:pPr>
      <w:r w:rsidRPr="006F5709">
        <w:rPr>
          <w:rFonts w:eastAsia="Bookman Old Style"/>
          <w:color w:val="000000"/>
          <w:szCs w:val="24"/>
        </w:rPr>
        <w:t xml:space="preserve">• </w:t>
      </w:r>
      <w:r w:rsidRPr="006F5709">
        <w:rPr>
          <w:rFonts w:eastAsia="Bookman Old Style"/>
          <w:color w:val="000000"/>
          <w:szCs w:val="24"/>
          <w:highlight w:val="yellow"/>
        </w:rPr>
        <w:t>_______</w:t>
      </w:r>
      <w:r w:rsidRPr="006F5709">
        <w:rPr>
          <w:rFonts w:eastAsia="Bookman Old Style"/>
          <w:color w:val="000000"/>
          <w:szCs w:val="24"/>
        </w:rPr>
        <w:t xml:space="preserve"> has the following community ties;</w:t>
      </w:r>
    </w:p>
    <w:p w14:paraId="2DA1D068" w14:textId="77777777" w:rsidR="00B315C1" w:rsidRPr="006F5709" w:rsidRDefault="00B315C1" w:rsidP="002B6755">
      <w:pPr>
        <w:tabs>
          <w:tab w:val="left" w:pos="0"/>
          <w:tab w:val="left" w:pos="360"/>
        </w:tabs>
        <w:spacing w:line="360" w:lineRule="auto"/>
        <w:rPr>
          <w:rFonts w:eastAsia="Bookman Old Style"/>
          <w:color w:val="000000"/>
          <w:szCs w:val="24"/>
        </w:rPr>
      </w:pPr>
      <w:r w:rsidRPr="006F5709">
        <w:rPr>
          <w:rFonts w:eastAsia="Bookman Old Style"/>
          <w:color w:val="000000"/>
          <w:szCs w:val="24"/>
        </w:rPr>
        <w:t xml:space="preserve">• </w:t>
      </w:r>
      <w:r w:rsidRPr="006F5709">
        <w:rPr>
          <w:rFonts w:eastAsia="Bookman Old Style"/>
          <w:color w:val="000000"/>
          <w:szCs w:val="24"/>
          <w:highlight w:val="yellow"/>
        </w:rPr>
        <w:t>_______</w:t>
      </w:r>
      <w:r w:rsidRPr="006F5709">
        <w:rPr>
          <w:rFonts w:eastAsia="Bookman Old Style"/>
          <w:color w:val="000000"/>
          <w:szCs w:val="24"/>
        </w:rPr>
        <w:t xml:space="preserve"> cannot afford to pay any amount of money bail;</w:t>
      </w:r>
    </w:p>
    <w:p w14:paraId="33C4F62E" w14:textId="77777777" w:rsidR="00B315C1" w:rsidRPr="006F5709" w:rsidRDefault="00B315C1" w:rsidP="002B6755">
      <w:pPr>
        <w:tabs>
          <w:tab w:val="left" w:pos="0"/>
          <w:tab w:val="left" w:pos="360"/>
        </w:tabs>
        <w:spacing w:line="360" w:lineRule="auto"/>
        <w:rPr>
          <w:rFonts w:eastAsia="Bookman Old Style"/>
          <w:szCs w:val="24"/>
        </w:rPr>
      </w:pPr>
      <w:r w:rsidRPr="006F5709">
        <w:rPr>
          <w:rFonts w:eastAsia="Bookman Old Style"/>
          <w:color w:val="000000"/>
          <w:szCs w:val="24"/>
        </w:rPr>
        <w:t xml:space="preserve">• </w:t>
      </w:r>
      <w:r w:rsidRPr="006F5709">
        <w:rPr>
          <w:rFonts w:eastAsia="Bookman Old Style"/>
          <w:color w:val="000000"/>
          <w:szCs w:val="24"/>
          <w:highlight w:val="yellow"/>
        </w:rPr>
        <w:t>_______</w:t>
      </w:r>
      <w:r w:rsidRPr="006F5709">
        <w:rPr>
          <w:rFonts w:eastAsia="Bookman Old Style"/>
          <w:color w:val="000000"/>
          <w:szCs w:val="24"/>
        </w:rPr>
        <w:t xml:space="preserve"> promises to return to court and abide by court-ordered release conditions;</w:t>
      </w:r>
    </w:p>
    <w:p w14:paraId="262518BB" w14:textId="756EBDF5" w:rsidR="00B315C1" w:rsidRPr="006F5709" w:rsidRDefault="00B315C1" w:rsidP="002B6755">
      <w:pPr>
        <w:tabs>
          <w:tab w:val="left" w:pos="0"/>
          <w:tab w:val="left" w:pos="360"/>
        </w:tabs>
        <w:spacing w:line="360" w:lineRule="auto"/>
        <w:rPr>
          <w:rFonts w:eastAsia="Bookman Old Style"/>
          <w:szCs w:val="24"/>
        </w:rPr>
      </w:pPr>
      <w:r w:rsidRPr="006F5709">
        <w:rPr>
          <w:rFonts w:eastAsia="Bookman Old Style"/>
          <w:szCs w:val="24"/>
        </w:rPr>
        <w:t xml:space="preserve">• </w:t>
      </w:r>
      <w:r w:rsidRPr="006F5709">
        <w:rPr>
          <w:rFonts w:eastAsia="Bookman Old Style"/>
          <w:szCs w:val="24"/>
          <w:highlight w:val="yellow"/>
        </w:rPr>
        <w:t>_______</w:t>
      </w:r>
      <w:r w:rsidRPr="006F5709">
        <w:rPr>
          <w:rFonts w:eastAsia="Bookman Old Style"/>
          <w:szCs w:val="24"/>
        </w:rPr>
        <w:t xml:space="preserve"> suffers from the following medical conditions, </w:t>
      </w:r>
      <w:r w:rsidRPr="006F5709">
        <w:rPr>
          <w:rFonts w:eastAsia="Bookman Old Style"/>
          <w:szCs w:val="24"/>
          <w:highlight w:val="yellow"/>
        </w:rPr>
        <w:t>_________</w:t>
      </w:r>
      <w:r w:rsidRPr="006F5709">
        <w:rPr>
          <w:rFonts w:eastAsia="Bookman Old Style"/>
          <w:szCs w:val="24"/>
        </w:rPr>
        <w:t xml:space="preserve">, which put him at high risk of serious illness should </w:t>
      </w:r>
      <w:r w:rsidRPr="00901FDA">
        <w:rPr>
          <w:rFonts w:eastAsia="Bookman Old Style"/>
          <w:szCs w:val="24"/>
          <w:highlight w:val="yellow"/>
        </w:rPr>
        <w:t>he</w:t>
      </w:r>
      <w:r w:rsidR="00933D93" w:rsidRPr="00901FDA">
        <w:rPr>
          <w:rFonts w:eastAsia="Bookman Old Style"/>
          <w:szCs w:val="24"/>
          <w:highlight w:val="yellow"/>
        </w:rPr>
        <w:t>/she/they</w:t>
      </w:r>
      <w:r w:rsidRPr="006F5709">
        <w:rPr>
          <w:rFonts w:eastAsia="Bookman Old Style"/>
          <w:szCs w:val="24"/>
        </w:rPr>
        <w:t xml:space="preserve"> contract COVID-19.</w:t>
      </w:r>
    </w:p>
    <w:p w14:paraId="4E695DE5" w14:textId="77777777"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 xml:space="preserve">The foregoing is true and correct of my own knowledge, except </w:t>
      </w:r>
      <w:r w:rsidRPr="006F5709">
        <w:rPr>
          <w:rFonts w:eastAsia="Bookman Old Style"/>
          <w:color w:val="000000"/>
          <w:szCs w:val="24"/>
        </w:rPr>
        <w:t>on those matters</w:t>
      </w:r>
      <w:r w:rsidR="00D277BA" w:rsidRPr="006F5709">
        <w:rPr>
          <w:rFonts w:eastAsia="Bookman Old Style"/>
          <w:color w:val="000000"/>
          <w:szCs w:val="24"/>
        </w:rPr>
        <w:t xml:space="preserve"> </w:t>
      </w:r>
      <w:r w:rsidRPr="006F5709">
        <w:rPr>
          <w:rFonts w:eastAsia="Bookman Old Style"/>
          <w:szCs w:val="24"/>
        </w:rPr>
        <w:t xml:space="preserve">stated on information and belief, and as to those, I believe them to be true. </w:t>
      </w:r>
    </w:p>
    <w:p w14:paraId="3B43F634" w14:textId="73A27481" w:rsidR="00A46F3B" w:rsidRPr="006F5709" w:rsidRDefault="00A46F3B" w:rsidP="002B6755">
      <w:pPr>
        <w:tabs>
          <w:tab w:val="left" w:pos="0"/>
          <w:tab w:val="left" w:pos="360"/>
        </w:tabs>
        <w:spacing w:line="360" w:lineRule="auto"/>
        <w:rPr>
          <w:rFonts w:eastAsia="Bookman Old Style"/>
          <w:szCs w:val="24"/>
        </w:rPr>
      </w:pPr>
      <w:r w:rsidRPr="006F5709">
        <w:rPr>
          <w:rFonts w:eastAsia="Bookman Old Style"/>
          <w:szCs w:val="24"/>
        </w:rPr>
        <w:t xml:space="preserve">Executed on </w:t>
      </w:r>
      <w:r w:rsidRPr="006F5709">
        <w:rPr>
          <w:rFonts w:eastAsia="Bookman Old Style"/>
          <w:szCs w:val="24"/>
          <w:highlight w:val="yellow"/>
        </w:rPr>
        <w:t>_______________</w:t>
      </w:r>
      <w:r w:rsidRPr="006F5709">
        <w:rPr>
          <w:rFonts w:eastAsia="Bookman Old Style"/>
          <w:szCs w:val="24"/>
        </w:rPr>
        <w:t>, at San Francisco, California.</w:t>
      </w:r>
    </w:p>
    <w:p w14:paraId="3A5C5B52" w14:textId="77777777" w:rsidR="00B315C1" w:rsidRPr="006F5709" w:rsidRDefault="00B315C1" w:rsidP="00A46F3B">
      <w:pPr>
        <w:tabs>
          <w:tab w:val="left" w:pos="0"/>
          <w:tab w:val="left" w:pos="360"/>
        </w:tabs>
        <w:spacing w:line="480" w:lineRule="exact"/>
        <w:rPr>
          <w:rFonts w:eastAsia="Bookman Old Style"/>
          <w:szCs w:val="24"/>
        </w:rPr>
      </w:pPr>
    </w:p>
    <w:p w14:paraId="394904D4" w14:textId="77777777" w:rsidR="00A46F3B" w:rsidRPr="006F5709" w:rsidRDefault="00A46F3B" w:rsidP="008915AE">
      <w:pPr>
        <w:spacing w:line="240" w:lineRule="auto"/>
        <w:ind w:firstLine="5040"/>
        <w:rPr>
          <w:rFonts w:eastAsia="Bookman Old Style"/>
          <w:szCs w:val="24"/>
        </w:rPr>
      </w:pPr>
      <w:r w:rsidRPr="006F5709">
        <w:rPr>
          <w:rFonts w:eastAsia="Bookman Old Style"/>
          <w:szCs w:val="24"/>
          <w:highlight w:val="yellow"/>
        </w:rPr>
        <w:t>________________________</w:t>
      </w:r>
    </w:p>
    <w:p w14:paraId="1353B15F" w14:textId="3097195F" w:rsidR="00B315C1" w:rsidRPr="006F5709" w:rsidRDefault="00B315C1" w:rsidP="008915AE">
      <w:pPr>
        <w:spacing w:line="240" w:lineRule="auto"/>
        <w:ind w:left="5040" w:firstLine="0"/>
        <w:rPr>
          <w:rFonts w:eastAsia="Bookman Old Style"/>
          <w:szCs w:val="24"/>
        </w:rPr>
      </w:pPr>
      <w:r w:rsidRPr="006F5709">
        <w:rPr>
          <w:rFonts w:eastAsia="Bookman Old Style"/>
          <w:szCs w:val="24"/>
          <w:highlight w:val="yellow"/>
        </w:rPr>
        <w:t>_______________</w:t>
      </w:r>
    </w:p>
    <w:p w14:paraId="776455A2" w14:textId="04282658" w:rsidR="00A46F3B" w:rsidRPr="006F5709" w:rsidRDefault="00A46F3B" w:rsidP="008915AE">
      <w:pPr>
        <w:spacing w:line="240" w:lineRule="auto"/>
        <w:ind w:left="5040" w:firstLine="0"/>
        <w:rPr>
          <w:rFonts w:eastAsia="Bookman Old Style"/>
          <w:szCs w:val="24"/>
        </w:rPr>
      </w:pPr>
      <w:r w:rsidRPr="006F5709">
        <w:rPr>
          <w:rFonts w:eastAsia="Bookman Old Style"/>
          <w:szCs w:val="24"/>
        </w:rPr>
        <w:t>Deputy Public Defender</w:t>
      </w:r>
    </w:p>
    <w:p w14:paraId="5F3626EE" w14:textId="6C54DF76" w:rsidR="00CA6FD2" w:rsidRPr="006F5709" w:rsidRDefault="00A46F3B" w:rsidP="00CA6FD2">
      <w:pPr>
        <w:spacing w:line="240" w:lineRule="auto"/>
        <w:ind w:left="5040" w:firstLine="0"/>
        <w:rPr>
          <w:rFonts w:eastAsia="Bookman Old Style"/>
          <w:szCs w:val="24"/>
          <w:highlight w:val="yellow"/>
        </w:rPr>
      </w:pPr>
      <w:r w:rsidRPr="006F5709">
        <w:rPr>
          <w:rFonts w:eastAsia="Bookman Old Style"/>
          <w:szCs w:val="24"/>
        </w:rPr>
        <w:t>Attorney for</w:t>
      </w:r>
      <w:r w:rsidR="00B315C1" w:rsidRPr="006F5709">
        <w:rPr>
          <w:rFonts w:eastAsia="Bookman Old Style"/>
          <w:szCs w:val="24"/>
        </w:rPr>
        <w:t xml:space="preserve"> </w:t>
      </w:r>
      <w:r w:rsidR="00B315C1" w:rsidRPr="006F5709">
        <w:rPr>
          <w:rFonts w:eastAsia="Bookman Old Style"/>
          <w:szCs w:val="24"/>
          <w:highlight w:val="yellow"/>
        </w:rPr>
        <w:t>__________</w:t>
      </w:r>
    </w:p>
    <w:p w14:paraId="4DEEE365" w14:textId="4EDFEFD2" w:rsidR="00CA6FD2" w:rsidRPr="002B6755" w:rsidRDefault="00CA6FD2" w:rsidP="002B6755">
      <w:pPr>
        <w:spacing w:line="240" w:lineRule="auto"/>
        <w:ind w:firstLine="0"/>
        <w:rPr>
          <w:rFonts w:eastAsia="Bookman Old Style"/>
          <w:szCs w:val="24"/>
          <w:highlight w:val="yellow"/>
        </w:rPr>
      </w:pPr>
      <w:r w:rsidRPr="006F5709">
        <w:rPr>
          <w:rFonts w:eastAsia="Bookman Old Style"/>
          <w:b/>
          <w:bCs/>
          <w:szCs w:val="24"/>
        </w:rPr>
        <w:lastRenderedPageBreak/>
        <w:br w:type="page"/>
      </w:r>
    </w:p>
    <w:p w14:paraId="60966657" w14:textId="77777777" w:rsidR="002D45D3" w:rsidRPr="006F5709" w:rsidRDefault="002D45D3" w:rsidP="00CA6FD2">
      <w:pPr>
        <w:pStyle w:val="Title"/>
        <w:numPr>
          <w:ilvl w:val="0"/>
          <w:numId w:val="0"/>
        </w:numPr>
        <w:spacing w:line="480" w:lineRule="auto"/>
        <w:rPr>
          <w:rFonts w:ascii="Century Schoolbook" w:hAnsi="Century Schoolbook"/>
          <w:sz w:val="24"/>
          <w:szCs w:val="24"/>
        </w:rPr>
      </w:pPr>
      <w:r w:rsidRPr="006F5709">
        <w:rPr>
          <w:rFonts w:ascii="Century Schoolbook" w:hAnsi="Century Schoolbook"/>
          <w:sz w:val="24"/>
          <w:szCs w:val="24"/>
        </w:rPr>
        <w:lastRenderedPageBreak/>
        <w:t>Proof of Service</w:t>
      </w:r>
    </w:p>
    <w:p w14:paraId="3CD14319" w14:textId="77777777" w:rsidR="00B315C1" w:rsidRPr="006F5709" w:rsidRDefault="00B315C1" w:rsidP="00B315C1">
      <w:pPr>
        <w:spacing w:line="360" w:lineRule="auto"/>
        <w:rPr>
          <w:szCs w:val="24"/>
        </w:rPr>
      </w:pPr>
      <w:r w:rsidRPr="006F5709">
        <w:rPr>
          <w:szCs w:val="24"/>
        </w:rPr>
        <w:t>I say:</w:t>
      </w:r>
    </w:p>
    <w:p w14:paraId="4307D8C5" w14:textId="77777777" w:rsidR="00B315C1" w:rsidRPr="006F5709" w:rsidRDefault="00B315C1" w:rsidP="00B315C1">
      <w:pPr>
        <w:spacing w:line="360" w:lineRule="auto"/>
        <w:rPr>
          <w:szCs w:val="24"/>
        </w:rPr>
      </w:pPr>
      <w:r w:rsidRPr="006F5709">
        <w:rPr>
          <w:szCs w:val="24"/>
        </w:rPr>
        <w:t>I am over eighteen and not a party to this action. My business address is 555 Seventh Street, San Francisco, California 94l03.</w:t>
      </w:r>
    </w:p>
    <w:p w14:paraId="1F13CA5F" w14:textId="2BB79D9B" w:rsidR="00B315C1" w:rsidRPr="006F5709" w:rsidRDefault="00B315C1" w:rsidP="00B315C1">
      <w:pPr>
        <w:spacing w:after="240" w:line="360" w:lineRule="auto"/>
        <w:rPr>
          <w:szCs w:val="24"/>
        </w:rPr>
      </w:pPr>
      <w:r w:rsidRPr="006F5709">
        <w:rPr>
          <w:szCs w:val="24"/>
        </w:rPr>
        <w:t>I caused to be filed and served the attached document on:</w:t>
      </w:r>
    </w:p>
    <w:p w14:paraId="554758F4" w14:textId="77777777" w:rsidR="00B315C1" w:rsidRPr="006F5709" w:rsidRDefault="00B315C1" w:rsidP="00B315C1">
      <w:pPr>
        <w:spacing w:line="240" w:lineRule="auto"/>
        <w:ind w:left="720" w:firstLine="720"/>
        <w:rPr>
          <w:szCs w:val="24"/>
        </w:rPr>
      </w:pPr>
      <w:r w:rsidRPr="006F5709">
        <w:rPr>
          <w:szCs w:val="24"/>
        </w:rPr>
        <w:t xml:space="preserve">Assistant District Attorney </w:t>
      </w:r>
      <w:r w:rsidRPr="006F5709">
        <w:rPr>
          <w:szCs w:val="24"/>
          <w:highlight w:val="yellow"/>
        </w:rPr>
        <w:t>_____________</w:t>
      </w:r>
      <w:r w:rsidRPr="006F5709">
        <w:rPr>
          <w:szCs w:val="24"/>
        </w:rPr>
        <w:t xml:space="preserve"> </w:t>
      </w:r>
    </w:p>
    <w:p w14:paraId="2D2C7C8E" w14:textId="77777777" w:rsidR="00B315C1" w:rsidRPr="006F5709" w:rsidRDefault="00B315C1" w:rsidP="00B315C1">
      <w:pPr>
        <w:pStyle w:val="BlockQuote"/>
        <w:spacing w:line="240" w:lineRule="auto"/>
        <w:rPr>
          <w:rFonts w:ascii="Century Schoolbook" w:hAnsi="Century Schoolbook"/>
          <w:sz w:val="24"/>
          <w:szCs w:val="24"/>
        </w:rPr>
      </w:pPr>
      <w:r w:rsidRPr="006F5709">
        <w:rPr>
          <w:rFonts w:ascii="Century Schoolbook" w:hAnsi="Century Schoolbook"/>
          <w:sz w:val="24"/>
          <w:szCs w:val="24"/>
        </w:rPr>
        <w:t>San Francisco District Attorney</w:t>
      </w:r>
    </w:p>
    <w:p w14:paraId="1EB32D5A" w14:textId="77777777" w:rsidR="00B315C1" w:rsidRPr="006F5709" w:rsidRDefault="00B315C1" w:rsidP="00B315C1">
      <w:pPr>
        <w:pStyle w:val="BlockQuote"/>
        <w:spacing w:line="240" w:lineRule="auto"/>
        <w:rPr>
          <w:rFonts w:ascii="Century Schoolbook" w:hAnsi="Century Schoolbook"/>
          <w:sz w:val="24"/>
          <w:szCs w:val="24"/>
        </w:rPr>
      </w:pPr>
      <w:r w:rsidRPr="006F5709">
        <w:rPr>
          <w:rFonts w:ascii="Century Schoolbook" w:hAnsi="Century Schoolbook"/>
          <w:sz w:val="24"/>
          <w:szCs w:val="24"/>
        </w:rPr>
        <w:t>350 Rhode Island Street</w:t>
      </w:r>
    </w:p>
    <w:p w14:paraId="5ADFA066" w14:textId="77777777" w:rsidR="00B315C1" w:rsidRPr="006F5709" w:rsidRDefault="00B315C1" w:rsidP="00B315C1">
      <w:pPr>
        <w:pStyle w:val="BlockQuote"/>
        <w:spacing w:line="240" w:lineRule="auto"/>
        <w:rPr>
          <w:rFonts w:ascii="Century Schoolbook" w:hAnsi="Century Schoolbook"/>
          <w:sz w:val="24"/>
          <w:szCs w:val="24"/>
        </w:rPr>
      </w:pPr>
      <w:r w:rsidRPr="006F5709">
        <w:rPr>
          <w:rFonts w:ascii="Century Schoolbook" w:hAnsi="Century Schoolbook"/>
          <w:sz w:val="24"/>
          <w:szCs w:val="24"/>
        </w:rPr>
        <w:t>North Building, Suite 400N</w:t>
      </w:r>
      <w:r w:rsidRPr="006F5709">
        <w:rPr>
          <w:rFonts w:ascii="Century Schoolbook" w:hAnsi="Century Schoolbook"/>
          <w:sz w:val="24"/>
          <w:szCs w:val="24"/>
        </w:rPr>
        <w:br/>
        <w:t>San Francisco, CA 94103</w:t>
      </w:r>
    </w:p>
    <w:p w14:paraId="50194691" w14:textId="77777777" w:rsidR="00B315C1" w:rsidRPr="006F5709" w:rsidRDefault="00B315C1" w:rsidP="00B315C1">
      <w:pPr>
        <w:spacing w:line="240" w:lineRule="auto"/>
        <w:rPr>
          <w:szCs w:val="24"/>
        </w:rPr>
      </w:pPr>
    </w:p>
    <w:p w14:paraId="74B4F686" w14:textId="1FABBF87" w:rsidR="00B315C1" w:rsidRPr="006F5709" w:rsidRDefault="00B315C1" w:rsidP="00B315C1">
      <w:pPr>
        <w:spacing w:line="360" w:lineRule="auto"/>
        <w:rPr>
          <w:szCs w:val="24"/>
        </w:rPr>
      </w:pPr>
      <w:r w:rsidRPr="006F5709">
        <w:rPr>
          <w:szCs w:val="24"/>
        </w:rPr>
        <w:t xml:space="preserve">I declare under penalty of perjury that the foregoing is true and correct. Executed on </w:t>
      </w:r>
      <w:r w:rsidRPr="006F5709">
        <w:rPr>
          <w:szCs w:val="24"/>
          <w:highlight w:val="yellow"/>
        </w:rPr>
        <w:t>______________</w:t>
      </w:r>
      <w:r w:rsidRPr="006F5709">
        <w:rPr>
          <w:szCs w:val="24"/>
        </w:rPr>
        <w:t>, 202</w:t>
      </w:r>
      <w:r w:rsidR="002B6755">
        <w:rPr>
          <w:szCs w:val="24"/>
        </w:rPr>
        <w:t>1</w:t>
      </w:r>
      <w:r w:rsidRPr="006F5709">
        <w:rPr>
          <w:szCs w:val="24"/>
        </w:rPr>
        <w:t>, in San Francisco, California.</w:t>
      </w:r>
    </w:p>
    <w:p w14:paraId="3ACD077A" w14:textId="08F69554" w:rsidR="00B315C1" w:rsidRPr="006F5709" w:rsidRDefault="00B315C1" w:rsidP="00B315C1">
      <w:pPr>
        <w:spacing w:line="360" w:lineRule="auto"/>
        <w:ind w:firstLine="0"/>
        <w:rPr>
          <w:szCs w:val="24"/>
        </w:rPr>
        <w:sectPr w:rsidR="00B315C1" w:rsidRPr="006F5709" w:rsidSect="004264B4">
          <w:headerReference w:type="default" r:id="rId14"/>
          <w:footerReference w:type="default" r:id="rId15"/>
          <w:pgSz w:w="12240" w:h="15840" w:code="1"/>
          <w:pgMar w:top="1440" w:right="1440" w:bottom="1440" w:left="1440" w:header="720" w:footer="720" w:gutter="0"/>
          <w:cols w:space="720"/>
          <w:docGrid w:linePitch="272"/>
        </w:sectPr>
      </w:pPr>
      <w:r w:rsidRPr="006F5709">
        <w:rPr>
          <w:noProof/>
          <w:szCs w:val="24"/>
        </w:rPr>
        <mc:AlternateContent>
          <mc:Choice Requires="wps">
            <w:drawing>
              <wp:anchor distT="4294967295" distB="4294967295" distL="114300" distR="114300" simplePos="0" relativeHeight="251658240" behindDoc="0" locked="0" layoutInCell="1" allowOverlap="1" wp14:anchorId="66A4B134" wp14:editId="572F0895">
                <wp:simplePos x="0" y="0"/>
                <wp:positionH relativeFrom="column">
                  <wp:posOffset>3137535</wp:posOffset>
                </wp:positionH>
                <wp:positionV relativeFrom="paragraph">
                  <wp:posOffset>145414</wp:posOffset>
                </wp:positionV>
                <wp:extent cx="2377440" cy="0"/>
                <wp:effectExtent l="0" t="0" r="3810" b="0"/>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39A3245F" id="Line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47.05pt,11.45pt" to="434.2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">
                <o:lock v:ext="edit" shapetype="f"/>
              </v:line>
            </w:pict>
          </mc:Fallback>
        </mc:AlternateContent>
      </w:r>
    </w:p>
    <w:p w14:paraId="0CB1037C" w14:textId="77777777" w:rsidR="00E931A7" w:rsidRPr="006F5709" w:rsidRDefault="00E931A7" w:rsidP="00D36487">
      <w:pPr>
        <w:tabs>
          <w:tab w:val="left" w:pos="3315"/>
        </w:tabs>
        <w:ind w:firstLine="0"/>
        <w:rPr>
          <w:szCs w:val="24"/>
        </w:rPr>
      </w:pPr>
    </w:p>
    <w:sectPr w:rsidR="00E931A7" w:rsidRPr="006F5709" w:rsidSect="004264B4">
      <w:headerReference w:type="default" r:id="rId16"/>
      <w:footerReference w:type="default" r:id="rId17"/>
      <w:pgSz w:w="12240" w:h="15840" w:code="1"/>
      <w:pgMar w:top="1440" w:right="1440" w:bottom="1440" w:left="1440" w:header="720" w:footer="720" w:gutter="0"/>
      <w:cols w:space="720"/>
      <w:docGrid w:linePitch="272"/>
    </w:sectPr>
  </w:body>
</w:document>
</file>

<file path=word/customizations.xml><?xml version="1.0" encoding="utf-8"?>
<wne:tcg xmlns:r="http://schemas.openxmlformats.org/officeDocument/2006/relationships" xmlns:wne="http://schemas.microsoft.com/office/word/2006/wordml">
  <wne:keymaps>
    <wne:keymap wne:kcmPrimary="0231">
      <wne:acd wne:acdName="acd2"/>
    </wne:keymap>
    <wne:keymap wne:kcmPrimary="0232">
      <wne:acd wne:acdName="acd3"/>
    </wne:keymap>
    <wne:keymap wne:kcmPrimary="0233">
      <wne:acd wne:acdName="acd4"/>
    </wne:keymap>
    <wne:keymap wne:kcmPrimary="0234">
      <wne:acd wne:acdName="acd5"/>
    </wne:keymap>
    <wne:keymap wne:kcmPrimary="0235">
      <wne:fci wne:fciName="InsertFootnoteNow" wne:swArg="0000"/>
    </wne:keymap>
    <wne:keymap wne:kcmPrimary="0236">
      <wne:acd wne:acdName="acd6"/>
    </wne:keymap>
    <wne:keymap wne:kcmPrimary="0239">
      <wne:acd wne:acdName="acd0"/>
    </wne:keymap>
    <wne:keymap wne:kcmPrimary="02BD">
      <wne:wch wne:val="00002014"/>
    </wne:keymap>
    <wne:keymap wne:kcmPrimary="02C0">
      <wne:acd wne:acdName="acd1"/>
    </wne:keymap>
    <wne:keymap wne:mask="1" wne:kcmPrimary="0646"/>
    <wne:keymap wne:mask="1" wne:kcmPrimary="066D"/>
  </wne:keymaps>
  <wne:toolbars>
    <wne:acdManifest>
      <wne:acdEntry wne:acdName="acd0"/>
      <wne:acdEntry wne:acdName="acd1"/>
      <wne:acdEntry wne:acdName="acd2"/>
      <wne:acdEntry wne:acdName="acd3"/>
      <wne:acdEntry wne:acdName="acd4"/>
      <wne:acdEntry wne:acdName="acd5"/>
      <wne:acdEntry wne:acdName="acd6"/>
    </wne:acdManifest>
  </wne:toolbars>
  <wne:acds>
    <wne:acd wne:argValue="AQAAAAAA" wne:acdName="acd0" wne:fciIndexBasedOn="0065"/>
    <wne:acd wne:argValue="AQAAAD4A" wne:acdName="acd1" wne:fciIndexBasedOn="0065"/>
    <wne:acd wne:argValue="AQAAAAEA" wne:acdName="acd2" wne:fciIndexBasedOn="0065"/>
    <wne:acd wne:argValue="AQAAAAIA" wne:acdName="acd3" wne:fciIndexBasedOn="0065"/>
    <wne:acd wne:argValue="AQAAAAMA" wne:acdName="acd4" wne:fciIndexBasedOn="0065"/>
    <wne:acd wne:argValue="AQAAAAQA" wne:acdName="acd5" wne:fciIndexBasedOn="0065"/>
    <wne:acd wne:argValue="pwBUAGkAbQBlAHMAIABOAGUAdwAgAFIAbwBtAGEAbgA=" wne:acdName="acd6" wne:fciBasedOn="Symbol"/>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6116D4" w14:textId="77777777" w:rsidR="00CF1160" w:rsidRDefault="00CF1160">
      <w:pPr>
        <w:spacing w:line="240" w:lineRule="auto"/>
      </w:pPr>
      <w:r>
        <w:separator/>
      </w:r>
    </w:p>
  </w:endnote>
  <w:endnote w:type="continuationSeparator" w:id="0">
    <w:p w14:paraId="2DBCE156" w14:textId="77777777" w:rsidR="00CF1160" w:rsidRDefault="00CF1160">
      <w:pPr>
        <w:spacing w:line="240" w:lineRule="auto"/>
      </w:pPr>
      <w:r>
        <w:continuationSeparator/>
      </w:r>
    </w:p>
  </w:endnote>
  <w:endnote w:type="continuationNotice" w:id="1">
    <w:p w14:paraId="00099E7F" w14:textId="77777777" w:rsidR="00CF1160" w:rsidRDefault="00CF11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82D5F" w14:textId="265E8482" w:rsidR="00CF1160" w:rsidRPr="00C35CDB" w:rsidRDefault="00CF1160" w:rsidP="008C0926">
    <w:pPr>
      <w:pStyle w:val="Footer"/>
      <w:tabs>
        <w:tab w:val="clear" w:pos="8640"/>
        <w:tab w:val="right" w:pos="9360"/>
      </w:tabs>
      <w:spacing w:line="227" w:lineRule="exact"/>
      <w:ind w:firstLine="0"/>
    </w:pPr>
    <w:r w:rsidRPr="00FE5823">
      <w:rPr>
        <w:rFonts w:ascii="Times New Roman" w:hAnsi="Times New Roman"/>
      </w:rPr>
      <w:tab/>
    </w:r>
    <w:r w:rsidRPr="009871EA">
      <w:rPr>
        <w:rFonts w:ascii="Times New Roman" w:hAnsi="Times New Roman"/>
        <w:b/>
      </w:rPr>
      <w:t xml:space="preserve">- </w:t>
    </w:r>
    <w:r w:rsidRPr="009871EA">
      <w:rPr>
        <w:rFonts w:ascii="Times New Roman" w:hAnsi="Times New Roman"/>
        <w:b/>
      </w:rPr>
      <w:fldChar w:fldCharType="begin"/>
    </w:r>
    <w:r w:rsidRPr="009871EA">
      <w:rPr>
        <w:rFonts w:ascii="Times New Roman" w:hAnsi="Times New Roman"/>
        <w:b/>
      </w:rPr>
      <w:instrText xml:space="preserve"> PAGE  \* MERGEFORMAT </w:instrText>
    </w:r>
    <w:r w:rsidRPr="009871EA">
      <w:rPr>
        <w:rFonts w:ascii="Times New Roman" w:hAnsi="Times New Roman"/>
        <w:b/>
      </w:rPr>
      <w:fldChar w:fldCharType="separate"/>
    </w:r>
    <w:r w:rsidR="00E02CC7">
      <w:rPr>
        <w:rFonts w:ascii="Times New Roman" w:hAnsi="Times New Roman"/>
        <w:b/>
        <w:noProof/>
      </w:rPr>
      <w:t>4</w:t>
    </w:r>
    <w:r w:rsidRPr="009871EA">
      <w:rPr>
        <w:rFonts w:ascii="Times New Roman" w:hAnsi="Times New Roman"/>
        <w:b/>
        <w:noProof/>
      </w:rPr>
      <w:fldChar w:fldCharType="end"/>
    </w:r>
    <w:r w:rsidRPr="009871EA">
      <w:rPr>
        <w:rFonts w:ascii="Times New Roman" w:hAnsi="Times New Roman"/>
        <w:b/>
      </w:rPr>
      <w:t xml:space="preserve"> -</w:t>
    </w:r>
    <w:r w:rsidRPr="00FE5823">
      <w:rPr>
        <w:rFonts w:ascii="Times New Roman" w:hAnsi="Times New Roman"/>
      </w:rPr>
      <w:tab/>
    </w:r>
    <w:r w:rsidRPr="00FE5823">
      <w:rPr>
        <w:rFonts w:ascii="Times New Roman" w:hAnsi="Times New Roman"/>
        <w:sz w:val="16"/>
        <w:szCs w:val="16"/>
      </w:rPr>
      <w:br/>
    </w:r>
    <w:r w:rsidRPr="00FE5823">
      <w:rPr>
        <w:rFonts w:ascii="Times New Roman" w:hAnsi="Times New Roman"/>
        <w:sz w:val="16"/>
        <w:szCs w:val="16"/>
      </w:rPr>
      <w:tab/>
    </w:r>
    <w:r w:rsidRPr="00FE5823">
      <w:rPr>
        <w:rFonts w:ascii="Times New Roman" w:hAnsi="Times New Roman"/>
        <w:sz w:val="16"/>
        <w:szCs w:val="16"/>
      </w:rPr>
      <w:tab/>
    </w:r>
    <w:r w:rsidRPr="00C35CDB">
      <w:rPr>
        <w:sz w:val="16"/>
        <w:szCs w:val="16"/>
      </w:rPr>
      <w:t>Motion for Release on Bail or Own Recognizance</w:t>
    </w:r>
    <w:r w:rsidRPr="00C35CDB">
      <w:rPr>
        <w:sz w:val="16"/>
        <w:szCs w:val="16"/>
      </w:rPr>
      <w:br/>
    </w:r>
    <w:r w:rsidRPr="00C35CDB">
      <w:rPr>
        <w:sz w:val="16"/>
        <w:szCs w:val="16"/>
      </w:rPr>
      <w:tab/>
    </w:r>
    <w:r w:rsidRPr="00C35CDB">
      <w:rPr>
        <w:sz w:val="16"/>
        <w:szCs w:val="16"/>
      </w:rPr>
      <w:tab/>
      <w:t xml:space="preserve">People v. </w:t>
    </w:r>
    <w:r w:rsidRPr="00C35CDB">
      <w:rPr>
        <w:sz w:val="16"/>
        <w:szCs w:val="16"/>
        <w:highlight w:val="yellow"/>
      </w:rPr>
      <w:t>Defendant/ Court No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5B1A1" w14:textId="66E18096" w:rsidR="00CF1160" w:rsidRPr="00FE5823" w:rsidRDefault="00CF1160" w:rsidP="0032004D">
    <w:pPr>
      <w:pStyle w:val="Footer"/>
      <w:tabs>
        <w:tab w:val="clear" w:pos="8640"/>
        <w:tab w:val="right" w:pos="9360"/>
      </w:tabs>
      <w:spacing w:line="227" w:lineRule="exact"/>
      <w:ind w:firstLine="0"/>
      <w:rPr>
        <w:rFonts w:ascii="Times New Roman" w:hAnsi="Times New Roman"/>
      </w:rPr>
    </w:pPr>
    <w:r w:rsidRPr="00FE5823">
      <w:rPr>
        <w:rFonts w:ascii="Times New Roman" w:hAnsi="Times New Roman"/>
      </w:rPr>
      <w:tab/>
    </w:r>
    <w:r w:rsidRPr="00FE5823">
      <w:rPr>
        <w:rFonts w:ascii="Times New Roman" w:hAnsi="Times New Roman"/>
      </w:rPr>
      <w:tab/>
    </w:r>
    <w:r w:rsidRPr="00FE5823">
      <w:rPr>
        <w:rFonts w:ascii="Times New Roman" w:hAnsi="Times New Roman"/>
        <w:sz w:val="16"/>
        <w:szCs w:val="16"/>
      </w:rPr>
      <w:br/>
    </w:r>
    <w:r w:rsidRPr="00FE5823">
      <w:rPr>
        <w:rFonts w:ascii="Times New Roman" w:hAnsi="Times New Roman"/>
        <w:sz w:val="16"/>
        <w:szCs w:val="16"/>
      </w:rPr>
      <w:tab/>
    </w:r>
    <w:r w:rsidRPr="00FE5823">
      <w:rPr>
        <w:rFonts w:ascii="Times New Roman" w:hAnsi="Times New Roman"/>
        <w:sz w:val="16"/>
        <w:szCs w:val="16"/>
      </w:rPr>
      <w:tab/>
    </w:r>
    <w:r>
      <w:rPr>
        <w:rFonts w:ascii="Georgia" w:hAnsi="Georgia"/>
        <w:sz w:val="16"/>
        <w:szCs w:val="16"/>
      </w:rPr>
      <w:t>Motion for Release on Bail or Own Recognizance</w:t>
    </w:r>
    <w:r w:rsidRPr="00276C88">
      <w:rPr>
        <w:rFonts w:ascii="Georgia" w:hAnsi="Georgia"/>
        <w:sz w:val="16"/>
        <w:szCs w:val="16"/>
      </w:rPr>
      <w:br/>
    </w:r>
    <w:r w:rsidRPr="00276C88">
      <w:rPr>
        <w:rFonts w:ascii="Georgia" w:hAnsi="Georgia"/>
        <w:sz w:val="16"/>
        <w:szCs w:val="16"/>
      </w:rPr>
      <w:tab/>
    </w:r>
    <w:r w:rsidRPr="00276C88">
      <w:rPr>
        <w:rFonts w:ascii="Georgia" w:hAnsi="Georgia"/>
        <w:sz w:val="16"/>
        <w:szCs w:val="16"/>
      </w:rPr>
      <w:tab/>
      <w:t xml:space="preserve">People v. </w:t>
    </w:r>
    <w:r w:rsidRPr="00B80165">
      <w:rPr>
        <w:rFonts w:ascii="Georgia" w:hAnsi="Georgia"/>
        <w:sz w:val="16"/>
        <w:szCs w:val="16"/>
        <w:highlight w:val="yellow"/>
      </w:rPr>
      <w:t>_________</w:t>
    </w:r>
    <w:r>
      <w:rPr>
        <w:rFonts w:ascii="Georgia" w:hAnsi="Georgia"/>
        <w:sz w:val="16"/>
        <w:szCs w:val="16"/>
      </w:rPr>
      <w:t xml:space="preserve"> / </w:t>
    </w:r>
    <w:r w:rsidRPr="00B80165">
      <w:rPr>
        <w:rFonts w:ascii="Georgia" w:hAnsi="Georgia"/>
        <w:sz w:val="16"/>
        <w:szCs w:val="16"/>
        <w:highlight w:val="yellow"/>
      </w:rPr>
      <w:t>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43DCA" w14:textId="77777777" w:rsidR="00CF1160" w:rsidRDefault="00CF1160" w:rsidP="008C0926">
    <w:pPr>
      <w:pStyle w:val="Footer"/>
      <w:tabs>
        <w:tab w:val="clear" w:pos="8640"/>
        <w:tab w:val="right" w:pos="9360"/>
      </w:tabs>
      <w:spacing w:line="227" w:lineRule="exact"/>
      <w:ind w:firstLine="0"/>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06DEA" w14:textId="77777777" w:rsidR="00CF1160" w:rsidRDefault="00CF1160">
      <w:pPr>
        <w:spacing w:line="240" w:lineRule="auto"/>
      </w:pPr>
      <w:r>
        <w:separator/>
      </w:r>
    </w:p>
  </w:footnote>
  <w:footnote w:type="continuationSeparator" w:id="0">
    <w:p w14:paraId="0F3E084C" w14:textId="77777777" w:rsidR="00CF1160" w:rsidRDefault="00CF1160">
      <w:pPr>
        <w:spacing w:line="240" w:lineRule="auto"/>
      </w:pPr>
      <w:r>
        <w:continuationSeparator/>
      </w:r>
    </w:p>
  </w:footnote>
  <w:footnote w:type="continuationNotice" w:id="1">
    <w:p w14:paraId="41D3E0CB" w14:textId="77777777" w:rsidR="00CF1160" w:rsidRDefault="00CF1160">
      <w:pPr>
        <w:spacing w:line="240" w:lineRule="auto"/>
      </w:pPr>
    </w:p>
  </w:footnote>
  <w:footnote w:id="2">
    <w:p w14:paraId="46770236" w14:textId="6F95531A" w:rsidR="00CF1160" w:rsidRPr="00C35CDB" w:rsidRDefault="00CF1160" w:rsidP="00C35CDB">
      <w:pPr>
        <w:pStyle w:val="FootnoteText"/>
        <w:spacing w:line="240" w:lineRule="auto"/>
        <w:rPr>
          <w:rFonts w:ascii="Century Schoolbook" w:hAnsi="Century Schoolbook"/>
          <w:sz w:val="24"/>
          <w:szCs w:val="24"/>
        </w:rPr>
      </w:pPr>
      <w:r w:rsidRPr="00C35CDB">
        <w:rPr>
          <w:rStyle w:val="FootnoteReference"/>
          <w:rFonts w:ascii="Century Schoolbook" w:hAnsi="Century Schoolbook"/>
          <w:sz w:val="24"/>
          <w:szCs w:val="24"/>
        </w:rPr>
        <w:footnoteRef/>
      </w:r>
      <w:r w:rsidRPr="00C35CDB">
        <w:rPr>
          <w:rFonts w:ascii="Century Schoolbook" w:hAnsi="Century Schoolbook"/>
          <w:sz w:val="24"/>
          <w:szCs w:val="24"/>
        </w:rPr>
        <w:t xml:space="preserve"> </w:t>
      </w:r>
      <w:r w:rsidRPr="00C35CDB">
        <w:rPr>
          <w:rFonts w:ascii="Century Schoolbook" w:hAnsi="Century Schoolbook"/>
          <w:i/>
          <w:iCs/>
          <w:sz w:val="24"/>
          <w:szCs w:val="24"/>
        </w:rPr>
        <w:t>In re Humphrey</w:t>
      </w:r>
      <w:r w:rsidRPr="00C35CDB">
        <w:rPr>
          <w:rFonts w:ascii="Century Schoolbook" w:hAnsi="Century Schoolbook"/>
          <w:sz w:val="24"/>
          <w:szCs w:val="24"/>
        </w:rPr>
        <w:t xml:space="preserve"> (2021)</w:t>
      </w:r>
      <w:r>
        <w:rPr>
          <w:rFonts w:ascii="Century Schoolbook" w:hAnsi="Century Schoolbook"/>
          <w:sz w:val="24"/>
          <w:szCs w:val="24"/>
        </w:rPr>
        <w:t xml:space="preserve"> 11 Cal.5th 135, 276 Cal.Rptr.3d 232, 237.</w:t>
      </w:r>
      <w:r w:rsidRPr="00C35CDB">
        <w:rPr>
          <w:rFonts w:ascii="Century Schoolbook" w:hAnsi="Century Schoolbook"/>
          <w:sz w:val="24"/>
          <w:szCs w:val="24"/>
        </w:rPr>
        <w:t xml:space="preserve"> </w:t>
      </w:r>
    </w:p>
  </w:footnote>
  <w:footnote w:id="3">
    <w:p w14:paraId="2234134E" w14:textId="6088C367" w:rsidR="00CF1160" w:rsidRPr="006F5709" w:rsidRDefault="00CF1160" w:rsidP="006F5709">
      <w:pPr>
        <w:pStyle w:val="FootnoteText"/>
        <w:spacing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Assem. Bill No. 2542, (2019-2020 Reg. Sess.) § 2, subd. (a).</w:t>
      </w:r>
    </w:p>
  </w:footnote>
  <w:footnote w:id="4">
    <w:p w14:paraId="73B46391" w14:textId="40E7EA5D" w:rsidR="00CF1160" w:rsidRPr="006F5709" w:rsidRDefault="00CF1160" w:rsidP="005254BC">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Pr>
          <w:rFonts w:ascii="Century Schoolbook" w:hAnsi="Century Schoolbook"/>
          <w:sz w:val="24"/>
          <w:szCs w:val="24"/>
        </w:rPr>
        <w:t xml:space="preserve"> </w:t>
      </w:r>
      <w:hyperlink r:id="rId1" w:history="1">
        <w:r w:rsidRPr="005B7DD2">
          <w:rPr>
            <w:rStyle w:val="Hyperlink"/>
            <w:rFonts w:ascii="Century Schoolbook" w:hAnsi="Century Schoolbook"/>
            <w:sz w:val="24"/>
            <w:szCs w:val="24"/>
          </w:rPr>
          <w:t>https://www.cdc.gov/coronavirus/2019-ncov/prevent-getting-sick/prevention.html</w:t>
        </w:r>
      </w:hyperlink>
      <w:r>
        <w:rPr>
          <w:rFonts w:ascii="Century Schoolbook" w:hAnsi="Century Schoolbook"/>
          <w:sz w:val="24"/>
          <w:szCs w:val="24"/>
        </w:rPr>
        <w:t>.</w:t>
      </w:r>
    </w:p>
  </w:footnote>
  <w:footnote w:id="5">
    <w:p w14:paraId="27585AD2" w14:textId="77777777" w:rsidR="00CF1160" w:rsidRPr="006F5709" w:rsidRDefault="00CF1160" w:rsidP="005254BC">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Amanda Klonsky, </w:t>
      </w:r>
      <w:r w:rsidRPr="006F5709">
        <w:rPr>
          <w:rFonts w:ascii="Century Schoolbook" w:hAnsi="Century Schoolbook"/>
          <w:i/>
          <w:sz w:val="24"/>
          <w:szCs w:val="24"/>
        </w:rPr>
        <w:t>An Epicenter of the Pandemic Will Be Jails and Prisons, if Inaction Continues</w:t>
      </w:r>
      <w:r w:rsidRPr="006F5709">
        <w:rPr>
          <w:rFonts w:ascii="Century Schoolbook" w:hAnsi="Century Schoolbook"/>
          <w:sz w:val="24"/>
          <w:szCs w:val="24"/>
        </w:rPr>
        <w:t xml:space="preserve">, N.Y. Times (Mar. 16, 2020), </w:t>
      </w:r>
      <w:hyperlink r:id="rId2" w:history="1">
        <w:r w:rsidRPr="006F5709">
          <w:rPr>
            <w:rStyle w:val="Hyperlink"/>
            <w:rFonts w:ascii="Century Schoolbook" w:hAnsi="Century Schoolbook"/>
            <w:sz w:val="24"/>
            <w:szCs w:val="24"/>
          </w:rPr>
          <w:t>https://nyti.ms/3aycWX4</w:t>
        </w:r>
      </w:hyperlink>
      <w:r w:rsidRPr="006F5709">
        <w:rPr>
          <w:rFonts w:ascii="Century Schoolbook" w:hAnsi="Century Schoolbook"/>
          <w:sz w:val="24"/>
          <w:szCs w:val="24"/>
        </w:rPr>
        <w:t>.</w:t>
      </w:r>
    </w:p>
  </w:footnote>
  <w:footnote w:id="6">
    <w:p w14:paraId="03A0E124" w14:textId="77777777" w:rsidR="00CF1160" w:rsidRPr="006F5709" w:rsidRDefault="00CF1160" w:rsidP="006F570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Centers for Disease Control &amp; Prevention, </w:t>
      </w:r>
      <w:r w:rsidRPr="006F5709">
        <w:rPr>
          <w:rFonts w:ascii="Century Schoolbook" w:hAnsi="Century Schoolbook"/>
          <w:i/>
          <w:sz w:val="24"/>
          <w:szCs w:val="24"/>
        </w:rPr>
        <w:t>Interim Guidance on Management of Coronavirus Disease 2019 (COVID-19) in Correctional and Detention Facilities</w:t>
      </w:r>
      <w:r w:rsidRPr="006F5709">
        <w:rPr>
          <w:rFonts w:ascii="Century Schoolbook" w:hAnsi="Century Schoolbook"/>
          <w:sz w:val="24"/>
          <w:szCs w:val="24"/>
        </w:rPr>
        <w:t xml:space="preserve"> (“</w:t>
      </w:r>
      <w:r w:rsidRPr="006F5709">
        <w:rPr>
          <w:rFonts w:ascii="Century Schoolbook" w:hAnsi="Century Schoolbook"/>
          <w:i/>
          <w:sz w:val="24"/>
          <w:szCs w:val="24"/>
        </w:rPr>
        <w:t>CDC Guidance</w:t>
      </w:r>
      <w:r w:rsidRPr="006F5709">
        <w:rPr>
          <w:rFonts w:ascii="Century Schoolbook" w:hAnsi="Century Schoolbook"/>
          <w:sz w:val="24"/>
          <w:szCs w:val="24"/>
        </w:rPr>
        <w:t xml:space="preserve">”) (Mar. 23, 2020), </w:t>
      </w:r>
      <w:hyperlink r:id="rId3" w:history="1">
        <w:r w:rsidRPr="006F5709">
          <w:rPr>
            <w:rStyle w:val="Hyperlink"/>
            <w:rFonts w:ascii="Century Schoolbook" w:hAnsi="Century Schoolbook"/>
            <w:sz w:val="24"/>
            <w:szCs w:val="24"/>
          </w:rPr>
          <w:t>https://bit.ly/2ygqU1k</w:t>
        </w:r>
      </w:hyperlink>
      <w:r w:rsidRPr="006F5709">
        <w:rPr>
          <w:rFonts w:ascii="Century Schoolbook" w:hAnsi="Century Schoolbook"/>
          <w:sz w:val="24"/>
          <w:szCs w:val="24"/>
        </w:rPr>
        <w:t>.</w:t>
      </w:r>
    </w:p>
  </w:footnote>
  <w:footnote w:id="7">
    <w:p w14:paraId="5A7DC8E3" w14:textId="77777777" w:rsidR="00CF1160" w:rsidRPr="006F5709" w:rsidRDefault="00CF1160" w:rsidP="006F570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Stuart A. Kinner, et al., </w:t>
      </w:r>
      <w:r w:rsidRPr="006F5709">
        <w:rPr>
          <w:rFonts w:ascii="Century Schoolbook" w:hAnsi="Century Schoolbook"/>
          <w:i/>
          <w:sz w:val="24"/>
          <w:szCs w:val="24"/>
        </w:rPr>
        <w:t>Prisons and custodial settings are part of a comprehensive response to COVID-19</w:t>
      </w:r>
      <w:r w:rsidRPr="006F5709">
        <w:rPr>
          <w:rFonts w:ascii="Century Schoolbook" w:hAnsi="Century Schoolbook"/>
          <w:sz w:val="24"/>
          <w:szCs w:val="24"/>
        </w:rPr>
        <w:t xml:space="preserve">, The Lancet, Vol. 5 April 2020, p. e188, </w:t>
      </w:r>
      <w:hyperlink r:id="rId4" w:history="1">
        <w:r w:rsidRPr="006F5709">
          <w:rPr>
            <w:rStyle w:val="Hyperlink"/>
            <w:rFonts w:ascii="Century Schoolbook" w:hAnsi="Century Schoolbook"/>
            <w:sz w:val="24"/>
            <w:szCs w:val="24"/>
          </w:rPr>
          <w:t>www.thelancet.com/public-health</w:t>
        </w:r>
      </w:hyperlink>
      <w:r w:rsidRPr="006F5709">
        <w:rPr>
          <w:rFonts w:ascii="Century Schoolbook" w:hAnsi="Century Schoolbook"/>
          <w:sz w:val="24"/>
          <w:szCs w:val="24"/>
        </w:rPr>
        <w:t>.</w:t>
      </w:r>
    </w:p>
  </w:footnote>
  <w:footnote w:id="8">
    <w:p w14:paraId="3D357ABC" w14:textId="367218D1" w:rsidR="00CF1160" w:rsidRPr="00933D93" w:rsidRDefault="00CF1160" w:rsidP="00933D93">
      <w:pPr>
        <w:pStyle w:val="FootnoteText"/>
        <w:spacing w:after="0" w:line="240" w:lineRule="auto"/>
        <w:rPr>
          <w:rFonts w:ascii="Century Schoolbook" w:hAnsi="Century Schoolbook"/>
          <w:sz w:val="24"/>
          <w:szCs w:val="24"/>
        </w:rPr>
      </w:pPr>
      <w:r w:rsidRPr="00933D93">
        <w:rPr>
          <w:rStyle w:val="FootnoteReference"/>
          <w:rFonts w:ascii="Century Schoolbook" w:hAnsi="Century Schoolbook"/>
          <w:sz w:val="24"/>
          <w:szCs w:val="24"/>
        </w:rPr>
        <w:footnoteRef/>
      </w:r>
      <w:r w:rsidRPr="00933D93">
        <w:rPr>
          <w:rFonts w:ascii="Century Schoolbook" w:hAnsi="Century Schoolbook"/>
          <w:sz w:val="24"/>
          <w:szCs w:val="24"/>
        </w:rPr>
        <w:t xml:space="preserve"> </w:t>
      </w:r>
      <w:hyperlink r:id="rId5" w:history="1">
        <w:r w:rsidRPr="00933D93">
          <w:rPr>
            <w:rStyle w:val="Hyperlink"/>
            <w:rFonts w:ascii="Century Schoolbook" w:hAnsi="Century Schoolbook"/>
            <w:sz w:val="24"/>
            <w:szCs w:val="24"/>
          </w:rPr>
          <w:t>https://www.sfsheriff.com/covid-19-jail-community-programs-sfso-staff-data</w:t>
        </w:r>
      </w:hyperlink>
      <w:r>
        <w:rPr>
          <w:rFonts w:ascii="Century Schoolbook" w:hAnsi="Century Schoolbook"/>
          <w:sz w:val="24"/>
          <w:szCs w:val="24"/>
        </w:rPr>
        <w:t xml:space="preserve">, accessed </w:t>
      </w:r>
      <w:r w:rsidRPr="00933D93">
        <w:rPr>
          <w:rFonts w:ascii="Century Schoolbook" w:hAnsi="Century Schoolbook"/>
          <w:sz w:val="24"/>
          <w:szCs w:val="24"/>
          <w:highlight w:val="yellow"/>
        </w:rPr>
        <w:t>________</w:t>
      </w:r>
      <w:r>
        <w:rPr>
          <w:rFonts w:ascii="Century Schoolbook" w:hAnsi="Century Schoolbook"/>
          <w:sz w:val="24"/>
          <w:szCs w:val="24"/>
        </w:rPr>
        <w:t>, 2021.</w:t>
      </w:r>
    </w:p>
  </w:footnote>
  <w:footnote w:id="9">
    <w:p w14:paraId="2288C98E" w14:textId="744295E4" w:rsidR="00CF1160" w:rsidRPr="00933D93" w:rsidRDefault="00CF1160" w:rsidP="00933D93">
      <w:pPr>
        <w:pStyle w:val="FootnoteText"/>
        <w:spacing w:after="0" w:line="240" w:lineRule="auto"/>
        <w:rPr>
          <w:rFonts w:ascii="Century Schoolbook" w:hAnsi="Century Schoolbook"/>
          <w:sz w:val="24"/>
          <w:szCs w:val="24"/>
        </w:rPr>
      </w:pPr>
      <w:r w:rsidRPr="00933D93">
        <w:rPr>
          <w:rStyle w:val="FootnoteReference"/>
          <w:rFonts w:ascii="Century Schoolbook" w:hAnsi="Century Schoolbook"/>
          <w:sz w:val="24"/>
          <w:szCs w:val="24"/>
        </w:rPr>
        <w:footnoteRef/>
      </w:r>
      <w:r w:rsidRPr="00933D93">
        <w:rPr>
          <w:rFonts w:ascii="Century Schoolbook" w:hAnsi="Century Schoolbook"/>
          <w:sz w:val="24"/>
          <w:szCs w:val="24"/>
        </w:rPr>
        <w:t xml:space="preserve"> </w:t>
      </w:r>
      <w:r w:rsidRPr="00933D93">
        <w:rPr>
          <w:rFonts w:ascii="Century Schoolbook" w:hAnsi="Century Schoolbook"/>
          <w:b/>
          <w:bCs/>
          <w:sz w:val="24"/>
          <w:szCs w:val="24"/>
        </w:rPr>
        <w:t xml:space="preserve">Exhibit </w:t>
      </w:r>
      <w:r>
        <w:rPr>
          <w:rFonts w:ascii="Century Schoolbook" w:hAnsi="Century Schoolbook"/>
          <w:b/>
          <w:bCs/>
          <w:sz w:val="24"/>
          <w:szCs w:val="24"/>
        </w:rPr>
        <w:t>A</w:t>
      </w:r>
      <w:r w:rsidRPr="00933D93">
        <w:rPr>
          <w:rFonts w:ascii="Century Schoolbook" w:hAnsi="Century Schoolbook"/>
          <w:sz w:val="24"/>
          <w:szCs w:val="24"/>
        </w:rPr>
        <w:t>, Letter from Lisa A. Pratt, MD, Jail Medical Director, San Francisco Dept. of Public Health, October 13, 2020.</w:t>
      </w:r>
    </w:p>
  </w:footnote>
  <w:footnote w:id="10">
    <w:p w14:paraId="04A6A966" w14:textId="19B12389" w:rsidR="00CF1160" w:rsidRPr="006F5709" w:rsidRDefault="00CF1160" w:rsidP="00E87D4A">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United States v. Salerno</w:t>
      </w:r>
      <w:r w:rsidRPr="006F5709">
        <w:rPr>
          <w:rFonts w:ascii="Century Schoolbook" w:eastAsia="Bookman Old Style" w:hAnsi="Century Schoolbook"/>
          <w:sz w:val="24"/>
          <w:szCs w:val="24"/>
        </w:rPr>
        <w:t xml:space="preserve"> (1987) 481 U.S. 739.</w:t>
      </w:r>
    </w:p>
  </w:footnote>
  <w:footnote w:id="11">
    <w:p w14:paraId="786283B0" w14:textId="272C2E79"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In re White</w:t>
      </w:r>
      <w:r w:rsidRPr="006F5709">
        <w:rPr>
          <w:rFonts w:ascii="Century Schoolbook" w:eastAsia="Bookman Old Style" w:hAnsi="Century Schoolbook"/>
          <w:sz w:val="24"/>
          <w:szCs w:val="24"/>
        </w:rPr>
        <w:t xml:space="preserve"> (2020) 9 Cal.5th 455, 462</w:t>
      </w:r>
    </w:p>
  </w:footnote>
  <w:footnote w:id="12">
    <w:p w14:paraId="7B9696B2" w14:textId="1E987C04"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sz w:val="24"/>
          <w:szCs w:val="24"/>
        </w:rPr>
        <w:t xml:space="preserve">Cal. Const., art. I, § 12; Pen. Code, § 1271 </w:t>
      </w:r>
      <w:r>
        <w:rPr>
          <w:rFonts w:ascii="Century Schoolbook" w:eastAsia="Bookman Old Style" w:hAnsi="Century Schoolbook"/>
          <w:sz w:val="24"/>
          <w:szCs w:val="24"/>
        </w:rPr>
        <w:t>[</w:t>
      </w:r>
      <w:r w:rsidRPr="006F5709">
        <w:rPr>
          <w:rFonts w:ascii="Century Schoolbook" w:eastAsia="Bookman Old Style" w:hAnsi="Century Schoolbook"/>
          <w:sz w:val="24"/>
          <w:szCs w:val="24"/>
        </w:rPr>
        <w:t>bail before conviction is a matter of right</w:t>
      </w:r>
      <w:r>
        <w:rPr>
          <w:rFonts w:ascii="Century Schoolbook" w:eastAsia="Bookman Old Style" w:hAnsi="Century Schoolbook"/>
          <w:sz w:val="24"/>
          <w:szCs w:val="24"/>
        </w:rPr>
        <w:t>]</w:t>
      </w:r>
      <w:r w:rsidRPr="006F5709">
        <w:rPr>
          <w:rFonts w:ascii="Century Schoolbook" w:eastAsia="Bookman Old Style" w:hAnsi="Century Schoolbook"/>
          <w:sz w:val="24"/>
          <w:szCs w:val="24"/>
        </w:rPr>
        <w:t xml:space="preserve">; </w:t>
      </w:r>
      <w:r w:rsidRPr="006F5709">
        <w:rPr>
          <w:rFonts w:ascii="Century Schoolbook" w:eastAsia="Bookman Old Style" w:hAnsi="Century Schoolbook"/>
          <w:i/>
          <w:iCs/>
          <w:sz w:val="24"/>
          <w:szCs w:val="24"/>
        </w:rPr>
        <w:t xml:space="preserve">Ex </w:t>
      </w:r>
      <w:r>
        <w:rPr>
          <w:rFonts w:ascii="Century Schoolbook" w:eastAsia="Bookman Old Style" w:hAnsi="Century Schoolbook"/>
          <w:i/>
          <w:iCs/>
          <w:sz w:val="24"/>
          <w:szCs w:val="24"/>
        </w:rPr>
        <w:t>p</w:t>
      </w:r>
      <w:r w:rsidRPr="006F5709">
        <w:rPr>
          <w:rFonts w:ascii="Century Schoolbook" w:eastAsia="Bookman Old Style" w:hAnsi="Century Schoolbook"/>
          <w:i/>
          <w:iCs/>
          <w:sz w:val="24"/>
          <w:szCs w:val="24"/>
        </w:rPr>
        <w:t>arte Newbern</w:t>
      </w:r>
      <w:r w:rsidRPr="006F5709">
        <w:rPr>
          <w:rFonts w:ascii="Century Schoolbook" w:eastAsia="Bookman Old Style" w:hAnsi="Century Schoolbook"/>
          <w:sz w:val="24"/>
          <w:szCs w:val="24"/>
        </w:rPr>
        <w:t xml:space="preserve"> (1961) 55 Cal.2d 500. 503-504; </w:t>
      </w:r>
      <w:r w:rsidRPr="006F5709">
        <w:rPr>
          <w:rFonts w:ascii="Century Schoolbook" w:eastAsia="Bookman Old Style" w:hAnsi="Century Schoolbook"/>
          <w:i/>
          <w:iCs/>
          <w:sz w:val="24"/>
          <w:szCs w:val="24"/>
        </w:rPr>
        <w:t>In re Law</w:t>
      </w:r>
      <w:r w:rsidRPr="006F5709">
        <w:rPr>
          <w:rFonts w:ascii="Century Schoolbook" w:eastAsia="Bookman Old Style" w:hAnsi="Century Schoolbook"/>
          <w:sz w:val="24"/>
          <w:szCs w:val="24"/>
        </w:rPr>
        <w:t xml:space="preserve"> (1973) 10 Cal.3d 21, 25.</w:t>
      </w:r>
    </w:p>
  </w:footnote>
  <w:footnote w:id="13">
    <w:p w14:paraId="077B560D" w14:textId="6C0DE800" w:rsidR="00CF1160" w:rsidRPr="00656A23" w:rsidRDefault="00CF1160" w:rsidP="00656A23">
      <w:pPr>
        <w:pStyle w:val="FootnoteText"/>
        <w:spacing w:after="0" w:line="240" w:lineRule="auto"/>
        <w:rPr>
          <w:rFonts w:ascii="Century Schoolbook" w:hAnsi="Century Schoolbook"/>
          <w:sz w:val="24"/>
          <w:szCs w:val="24"/>
        </w:rPr>
      </w:pPr>
      <w:r w:rsidRPr="00656A23">
        <w:rPr>
          <w:rStyle w:val="FootnoteReference"/>
          <w:rFonts w:ascii="Century Schoolbook" w:hAnsi="Century Schoolbook"/>
          <w:sz w:val="24"/>
          <w:szCs w:val="24"/>
        </w:rPr>
        <w:footnoteRef/>
      </w:r>
      <w:r w:rsidRPr="00656A23">
        <w:rPr>
          <w:rFonts w:ascii="Century Schoolbook" w:hAnsi="Century Schoolbook"/>
          <w:sz w:val="24"/>
          <w:szCs w:val="24"/>
        </w:rPr>
        <w:t xml:space="preserve"> </w:t>
      </w:r>
      <w:r w:rsidRPr="00656A23">
        <w:rPr>
          <w:rFonts w:ascii="Century Schoolbook" w:eastAsia="Bookman Old Style" w:hAnsi="Century Schoolbook"/>
          <w:i/>
          <w:sz w:val="24"/>
          <w:szCs w:val="24"/>
        </w:rPr>
        <w:t>In re Humphrey</w:t>
      </w:r>
      <w:r w:rsidRPr="00656A23">
        <w:rPr>
          <w:rFonts w:ascii="Century Schoolbook" w:eastAsia="Bookman Old Style" w:hAnsi="Century Schoolbook"/>
          <w:sz w:val="24"/>
          <w:szCs w:val="24"/>
        </w:rPr>
        <w:t xml:space="preserve"> (2021) 276 Cal.Rptr.3d 232, 237</w:t>
      </w:r>
      <w:r>
        <w:rPr>
          <w:rFonts w:ascii="Century Schoolbook" w:eastAsia="Bookman Old Style" w:hAnsi="Century Schoolbook"/>
          <w:sz w:val="24"/>
          <w:szCs w:val="24"/>
        </w:rPr>
        <w:t>.</w:t>
      </w:r>
    </w:p>
  </w:footnote>
  <w:footnote w:id="14">
    <w:p w14:paraId="585117C2" w14:textId="1D2AA52A" w:rsidR="00CF1160" w:rsidRPr="006F5709" w:rsidRDefault="00CF1160" w:rsidP="00656A23">
      <w:pPr>
        <w:spacing w:line="240" w:lineRule="auto"/>
        <w:ind w:firstLine="0"/>
        <w:rPr>
          <w:rFonts w:eastAsia="Bookman Old Style"/>
          <w:szCs w:val="24"/>
        </w:rPr>
      </w:pPr>
      <w:r w:rsidRPr="006F5709">
        <w:rPr>
          <w:rStyle w:val="FootnoteReference"/>
          <w:szCs w:val="24"/>
        </w:rPr>
        <w:footnoteRef/>
      </w:r>
      <w:r w:rsidRPr="006F5709">
        <w:rPr>
          <w:szCs w:val="24"/>
        </w:rPr>
        <w:t xml:space="preserve"> </w:t>
      </w:r>
      <w:r w:rsidRPr="006F5709">
        <w:rPr>
          <w:rFonts w:eastAsia="Bookman Old Style"/>
          <w:i/>
          <w:szCs w:val="24"/>
        </w:rPr>
        <w:t>I</w:t>
      </w:r>
      <w:r>
        <w:rPr>
          <w:rFonts w:eastAsia="Bookman Old Style"/>
          <w:i/>
          <w:szCs w:val="24"/>
        </w:rPr>
        <w:t xml:space="preserve">d., </w:t>
      </w:r>
      <w:r w:rsidRPr="00656A23">
        <w:rPr>
          <w:rFonts w:eastAsia="Bookman Old Style"/>
          <w:iCs/>
          <w:szCs w:val="24"/>
        </w:rPr>
        <w:t>at</w:t>
      </w:r>
      <w:r>
        <w:rPr>
          <w:rFonts w:eastAsia="Bookman Old Style"/>
          <w:i/>
          <w:szCs w:val="24"/>
        </w:rPr>
        <w:t xml:space="preserve"> </w:t>
      </w:r>
      <w:r>
        <w:rPr>
          <w:rFonts w:eastAsia="Bookman Old Style"/>
          <w:szCs w:val="24"/>
        </w:rPr>
        <w:t>237-238</w:t>
      </w:r>
      <w:r w:rsidRPr="006F5709">
        <w:rPr>
          <w:rFonts w:eastAsia="Bookman Old Style"/>
          <w:szCs w:val="24"/>
        </w:rPr>
        <w:t>.</w:t>
      </w:r>
    </w:p>
  </w:footnote>
  <w:footnote w:id="15">
    <w:p w14:paraId="3A096044" w14:textId="1CDEA004"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BB41A2">
        <w:rPr>
          <w:rFonts w:eastAsia="Bookman Old Style"/>
          <w:i/>
          <w:iCs/>
          <w:szCs w:val="24"/>
        </w:rPr>
        <w:t>Humphrey</w:t>
      </w:r>
      <w:r>
        <w:rPr>
          <w:rFonts w:eastAsia="Bookman Old Style"/>
          <w:szCs w:val="24"/>
        </w:rPr>
        <w:t xml:space="preserve">, </w:t>
      </w:r>
      <w:r w:rsidRPr="00BB41A2">
        <w:rPr>
          <w:rFonts w:eastAsia="Bookman Old Style"/>
          <w:i/>
          <w:iCs/>
          <w:szCs w:val="24"/>
        </w:rPr>
        <w:t>supra</w:t>
      </w:r>
      <w:r>
        <w:rPr>
          <w:rFonts w:eastAsia="Bookman Old Style"/>
          <w:szCs w:val="24"/>
        </w:rPr>
        <w:t>, at 244-245</w:t>
      </w:r>
      <w:r w:rsidRPr="006F5709">
        <w:rPr>
          <w:rFonts w:eastAsia="Bookman Old Style"/>
          <w:szCs w:val="24"/>
        </w:rPr>
        <w:t>.</w:t>
      </w:r>
    </w:p>
  </w:footnote>
  <w:footnote w:id="16">
    <w:p w14:paraId="7E7C8EEE" w14:textId="50F463C6" w:rsidR="00CF1160" w:rsidRPr="000C4EF8" w:rsidRDefault="00CF1160" w:rsidP="000C4EF8">
      <w:pPr>
        <w:pStyle w:val="FootnoteText"/>
        <w:spacing w:after="0" w:line="240" w:lineRule="auto"/>
        <w:rPr>
          <w:rFonts w:ascii="Century Schoolbook" w:hAnsi="Century Schoolbook"/>
        </w:rPr>
      </w:pPr>
      <w:r w:rsidRPr="000C4EF8">
        <w:rPr>
          <w:rStyle w:val="FootnoteReference"/>
          <w:rFonts w:ascii="Century Schoolbook" w:hAnsi="Century Schoolbook"/>
          <w:sz w:val="24"/>
          <w:szCs w:val="24"/>
        </w:rPr>
        <w:footnoteRef/>
      </w:r>
      <w:r w:rsidRPr="000C4EF8">
        <w:rPr>
          <w:rFonts w:ascii="Century Schoolbook" w:hAnsi="Century Schoolbook"/>
          <w:sz w:val="24"/>
          <w:szCs w:val="24"/>
        </w:rPr>
        <w:t xml:space="preserve"> </w:t>
      </w:r>
      <w:r w:rsidRPr="000C4EF8">
        <w:rPr>
          <w:rFonts w:ascii="Century Schoolbook" w:hAnsi="Century Schoolbook"/>
          <w:i/>
          <w:iCs/>
          <w:sz w:val="24"/>
          <w:szCs w:val="24"/>
        </w:rPr>
        <w:t>Id.</w:t>
      </w:r>
      <w:r>
        <w:rPr>
          <w:rFonts w:ascii="Century Schoolbook" w:hAnsi="Century Schoolbook"/>
          <w:sz w:val="24"/>
          <w:szCs w:val="24"/>
        </w:rPr>
        <w:t xml:space="preserve"> at 245.</w:t>
      </w:r>
    </w:p>
  </w:footnote>
  <w:footnote w:id="17">
    <w:p w14:paraId="3FF21CAA" w14:textId="566A496B" w:rsidR="00CF1160" w:rsidRPr="006F5709" w:rsidRDefault="00CF1160" w:rsidP="006F570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C35B7C">
        <w:rPr>
          <w:rFonts w:ascii="Century Schoolbook" w:hAnsi="Century Schoolbook"/>
          <w:i/>
          <w:iCs/>
          <w:sz w:val="24"/>
          <w:szCs w:val="24"/>
        </w:rPr>
        <w:t>Id</w:t>
      </w:r>
      <w:r>
        <w:rPr>
          <w:rFonts w:ascii="Century Schoolbook" w:hAnsi="Century Schoolbook"/>
          <w:sz w:val="24"/>
          <w:szCs w:val="24"/>
        </w:rPr>
        <w:t xml:space="preserve">., at 237; </w:t>
      </w:r>
      <w:r w:rsidRPr="006F5709">
        <w:rPr>
          <w:rFonts w:ascii="Century Schoolbook" w:hAnsi="Century Schoolbook"/>
          <w:i/>
          <w:iCs/>
          <w:sz w:val="24"/>
          <w:szCs w:val="24"/>
        </w:rPr>
        <w:t>In re Avignone</w:t>
      </w:r>
      <w:r w:rsidRPr="006F5709">
        <w:rPr>
          <w:rFonts w:ascii="Century Schoolbook" w:hAnsi="Century Schoolbook"/>
          <w:sz w:val="24"/>
          <w:szCs w:val="24"/>
        </w:rPr>
        <w:t xml:space="preserve"> (2018) 26 Cal.App.5th 195, 210, citing </w:t>
      </w:r>
      <w:r w:rsidRPr="006F5709">
        <w:rPr>
          <w:rFonts w:ascii="Century Schoolbook" w:hAnsi="Century Schoolbook"/>
          <w:i/>
          <w:iCs/>
          <w:sz w:val="24"/>
          <w:szCs w:val="24"/>
        </w:rPr>
        <w:t>In re Christie</w:t>
      </w:r>
      <w:r w:rsidRPr="006F5709">
        <w:rPr>
          <w:rFonts w:ascii="Century Schoolbook" w:hAnsi="Century Schoolbook"/>
          <w:sz w:val="24"/>
          <w:szCs w:val="24"/>
        </w:rPr>
        <w:t xml:space="preserve"> (2001) </w:t>
      </w:r>
      <w:r w:rsidRPr="006F5709">
        <w:rPr>
          <w:rFonts w:ascii="Century Schoolbook" w:eastAsia="Bookman Old Style" w:hAnsi="Century Schoolbook"/>
          <w:sz w:val="24"/>
          <w:szCs w:val="24"/>
        </w:rPr>
        <w:t>92 Cal.App.4th 1105, 1109 [“the court may neither deny nor set bail in a sum that is the functional equivalent of no bail</w:t>
      </w:r>
      <w:r>
        <w:rPr>
          <w:rFonts w:ascii="Century Schoolbook" w:eastAsia="Bookman Old Style" w:hAnsi="Century Schoolbook"/>
          <w:sz w:val="24"/>
          <w:szCs w:val="24"/>
        </w:rPr>
        <w:t>”</w:t>
      </w:r>
      <w:r w:rsidRPr="006F5709">
        <w:rPr>
          <w:rFonts w:ascii="Century Schoolbook" w:eastAsia="Bookman Old Style" w:hAnsi="Century Schoolbook"/>
          <w:sz w:val="24"/>
          <w:szCs w:val="24"/>
        </w:rPr>
        <w:t>].</w:t>
      </w:r>
    </w:p>
  </w:footnote>
  <w:footnote w:id="18">
    <w:p w14:paraId="161A3BB5" w14:textId="64E47D96" w:rsidR="00CF1160" w:rsidRPr="006F5709" w:rsidRDefault="00CF1160" w:rsidP="006F570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Pr>
          <w:rFonts w:eastAsia="Bookman Old Style"/>
          <w:i/>
          <w:szCs w:val="24"/>
        </w:rPr>
        <w:t>Id.</w:t>
      </w:r>
      <w:r w:rsidRPr="006F5709">
        <w:rPr>
          <w:rFonts w:eastAsia="Bookman Old Style"/>
          <w:szCs w:val="24"/>
        </w:rPr>
        <w:t xml:space="preserve">, </w:t>
      </w:r>
      <w:r>
        <w:rPr>
          <w:rFonts w:eastAsia="Bookman Old Style"/>
          <w:szCs w:val="24"/>
        </w:rPr>
        <w:t xml:space="preserve">at 237-238, </w:t>
      </w:r>
      <w:r w:rsidRPr="006F5709">
        <w:rPr>
          <w:rFonts w:eastAsia="Bookman Old Style"/>
          <w:szCs w:val="24"/>
        </w:rPr>
        <w:t>emphasis added</w:t>
      </w:r>
      <w:r>
        <w:rPr>
          <w:rFonts w:eastAsia="Bookman Old Style"/>
          <w:szCs w:val="24"/>
        </w:rPr>
        <w:t>.</w:t>
      </w:r>
      <w:r w:rsidRPr="006F5709">
        <w:rPr>
          <w:rFonts w:eastAsia="Bookman Old Style"/>
          <w:szCs w:val="24"/>
        </w:rPr>
        <w:t xml:space="preserve"> </w:t>
      </w:r>
      <w:r>
        <w:rPr>
          <w:rFonts w:eastAsia="Bookman Old Style"/>
          <w:szCs w:val="24"/>
        </w:rPr>
        <w:t>R</w:t>
      </w:r>
      <w:r w:rsidRPr="006F5709">
        <w:rPr>
          <w:rFonts w:eastAsia="Bookman Old Style"/>
          <w:szCs w:val="24"/>
        </w:rPr>
        <w:t>easonable bail conditions are allowed</w:t>
      </w:r>
      <w:r>
        <w:rPr>
          <w:rFonts w:eastAsia="Bookman Old Style"/>
          <w:szCs w:val="24"/>
        </w:rPr>
        <w:t>.</w:t>
      </w:r>
      <w:r w:rsidRPr="006F5709">
        <w:rPr>
          <w:rFonts w:eastAsia="Bookman Old Style"/>
          <w:szCs w:val="24"/>
        </w:rPr>
        <w:t xml:space="preserve"> </w:t>
      </w:r>
      <w:r w:rsidRPr="006F5709">
        <w:rPr>
          <w:rFonts w:eastAsia="Bookman Old Style"/>
          <w:i/>
          <w:szCs w:val="24"/>
        </w:rPr>
        <w:t>In re McSherry</w:t>
      </w:r>
      <w:r w:rsidRPr="006F5709">
        <w:rPr>
          <w:rFonts w:eastAsia="Bookman Old Style"/>
          <w:szCs w:val="24"/>
        </w:rPr>
        <w:t xml:space="preserve"> (2003) 112 Cal.App.4th 856 (misdemeanor: stay-away order); </w:t>
      </w:r>
      <w:r w:rsidRPr="006F5709">
        <w:rPr>
          <w:rFonts w:eastAsia="Bookman Old Style"/>
          <w:i/>
          <w:szCs w:val="24"/>
        </w:rPr>
        <w:t>Gray v. Superior Court</w:t>
      </w:r>
      <w:r w:rsidRPr="006F5709">
        <w:rPr>
          <w:rFonts w:eastAsia="Bookman Old Style"/>
          <w:szCs w:val="24"/>
        </w:rPr>
        <w:t xml:space="preserve"> (2005) 125 Cal.App.4th 629 (felony: no-medical-practice order).</w:t>
      </w:r>
    </w:p>
  </w:footnote>
  <w:footnote w:id="19">
    <w:p w14:paraId="1F685EB6" w14:textId="4FB4A2D5"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4A650B">
        <w:rPr>
          <w:rFonts w:eastAsia="Bookman Old Style"/>
          <w:b/>
          <w:bCs/>
          <w:szCs w:val="24"/>
        </w:rPr>
        <w:t xml:space="preserve">Exhibit </w:t>
      </w:r>
      <w:r>
        <w:rPr>
          <w:rFonts w:eastAsia="Bookman Old Style"/>
          <w:b/>
          <w:bCs/>
          <w:szCs w:val="24"/>
        </w:rPr>
        <w:t>B</w:t>
      </w:r>
      <w:r>
        <w:rPr>
          <w:rFonts w:eastAsia="Bookman Old Style"/>
          <w:szCs w:val="24"/>
        </w:rPr>
        <w:t xml:space="preserve">, </w:t>
      </w:r>
      <w:r w:rsidRPr="006F5709">
        <w:rPr>
          <w:rFonts w:eastAsia="Bookman Old Style"/>
          <w:szCs w:val="24"/>
        </w:rPr>
        <w:t>Public Safety Assessment (“PSA”) Report</w:t>
      </w:r>
      <w:r>
        <w:rPr>
          <w:rFonts w:eastAsia="Bookman Old Style"/>
          <w:szCs w:val="24"/>
        </w:rPr>
        <w:t>.</w:t>
      </w:r>
    </w:p>
  </w:footnote>
  <w:footnote w:id="20">
    <w:p w14:paraId="02062C7C" w14:textId="6E5FF4E0" w:rsidR="00CF1160" w:rsidRPr="006F5709" w:rsidRDefault="00CF1160" w:rsidP="007B1A19">
      <w:pPr>
        <w:spacing w:line="240" w:lineRule="auto"/>
        <w:ind w:firstLine="0"/>
        <w:contextualSpacing/>
        <w:rPr>
          <w:rFonts w:eastAsia="Bookman Old Style"/>
          <w:szCs w:val="24"/>
        </w:rPr>
      </w:pPr>
      <w:r w:rsidRPr="006F5709">
        <w:rPr>
          <w:rStyle w:val="FootnoteReference"/>
          <w:szCs w:val="24"/>
        </w:rPr>
        <w:footnoteRef/>
      </w:r>
      <w:r w:rsidRPr="006F5709">
        <w:rPr>
          <w:rFonts w:eastAsia="Bookman Old Style"/>
          <w:szCs w:val="24"/>
        </w:rPr>
        <w:t xml:space="preserve"> </w:t>
      </w:r>
      <w:r w:rsidRPr="004A650B">
        <w:rPr>
          <w:rFonts w:eastAsia="Bookman Old Style"/>
          <w:b/>
          <w:bCs/>
          <w:szCs w:val="24"/>
        </w:rPr>
        <w:t xml:space="preserve">Exhibit </w:t>
      </w:r>
      <w:r>
        <w:rPr>
          <w:rFonts w:eastAsia="Bookman Old Style"/>
          <w:b/>
          <w:bCs/>
          <w:szCs w:val="24"/>
        </w:rPr>
        <w:t>B</w:t>
      </w:r>
      <w:r>
        <w:rPr>
          <w:rFonts w:eastAsia="Bookman Old Style"/>
          <w:szCs w:val="24"/>
        </w:rPr>
        <w:t>.</w:t>
      </w:r>
    </w:p>
  </w:footnote>
  <w:footnote w:id="21">
    <w:p w14:paraId="1A4E1337" w14:textId="468A39AE"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In re Webb</w:t>
      </w:r>
      <w:r w:rsidRPr="006F5709">
        <w:rPr>
          <w:rFonts w:ascii="Century Schoolbook" w:eastAsia="Bookman Old Style" w:hAnsi="Century Schoolbook"/>
          <w:sz w:val="24"/>
          <w:szCs w:val="24"/>
        </w:rPr>
        <w:t xml:space="preserve"> (2019) 7 Cal.5th 270, 278.</w:t>
      </w:r>
    </w:p>
  </w:footnote>
  <w:footnote w:id="22">
    <w:p w14:paraId="34E691E5" w14:textId="77777777" w:rsidR="00CF1160" w:rsidRPr="006F5709" w:rsidRDefault="00CF1160" w:rsidP="00C47234">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Humphrey</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xml:space="preserve">, </w:t>
      </w:r>
      <w:r>
        <w:rPr>
          <w:rFonts w:ascii="Century Schoolbook" w:hAnsi="Century Schoolbook"/>
          <w:sz w:val="24"/>
          <w:szCs w:val="24"/>
        </w:rPr>
        <w:t>at 245.</w:t>
      </w:r>
    </w:p>
  </w:footnote>
  <w:footnote w:id="23">
    <w:p w14:paraId="41E545A6" w14:textId="733B6418"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744A55">
        <w:rPr>
          <w:rFonts w:ascii="Century Schoolbook" w:hAnsi="Century Schoolbook"/>
          <w:i/>
          <w:iCs/>
          <w:sz w:val="24"/>
          <w:szCs w:val="24"/>
        </w:rPr>
        <w:t>In re</w:t>
      </w:r>
      <w:r>
        <w:rPr>
          <w:rFonts w:ascii="Century Schoolbook" w:hAnsi="Century Schoolbook"/>
          <w:sz w:val="24"/>
          <w:szCs w:val="24"/>
        </w:rPr>
        <w:t xml:space="preserve"> </w:t>
      </w:r>
      <w:r w:rsidRPr="00744A55">
        <w:rPr>
          <w:rFonts w:ascii="Century Schoolbook" w:eastAsia="Bookman Old Style" w:hAnsi="Century Schoolbook"/>
          <w:i/>
          <w:sz w:val="24"/>
          <w:szCs w:val="24"/>
        </w:rPr>
        <w:t>Humphrey</w:t>
      </w:r>
      <w:r>
        <w:rPr>
          <w:rFonts w:ascii="Century Schoolbook" w:eastAsia="Bookman Old Style" w:hAnsi="Century Schoolbook"/>
          <w:iCs/>
          <w:sz w:val="24"/>
          <w:szCs w:val="24"/>
        </w:rPr>
        <w:t xml:space="preserve"> (2018) </w:t>
      </w:r>
      <w:r w:rsidRPr="00744A55">
        <w:rPr>
          <w:rFonts w:ascii="Century Schoolbook" w:eastAsia="Bookman Old Style" w:hAnsi="Century Schoolbook"/>
          <w:iCs/>
          <w:sz w:val="24"/>
          <w:szCs w:val="24"/>
        </w:rPr>
        <w:t>19</w:t>
      </w:r>
      <w:r w:rsidRPr="006F5709">
        <w:rPr>
          <w:rFonts w:ascii="Century Schoolbook" w:eastAsia="Bookman Old Style" w:hAnsi="Century Schoolbook"/>
          <w:sz w:val="24"/>
          <w:szCs w:val="24"/>
        </w:rPr>
        <w:t xml:space="preserve"> Cal.App.5th </w:t>
      </w:r>
      <w:r>
        <w:rPr>
          <w:rFonts w:ascii="Century Schoolbook" w:eastAsia="Bookman Old Style" w:hAnsi="Century Schoolbook"/>
          <w:sz w:val="24"/>
          <w:szCs w:val="24"/>
        </w:rPr>
        <w:t>1006,</w:t>
      </w:r>
      <w:r w:rsidRPr="006F5709">
        <w:rPr>
          <w:rFonts w:ascii="Century Schoolbook" w:eastAsia="Bookman Old Style" w:hAnsi="Century Schoolbook"/>
          <w:sz w:val="24"/>
          <w:szCs w:val="24"/>
        </w:rPr>
        <w:t xml:space="preserve"> 1042</w:t>
      </w:r>
      <w:r>
        <w:rPr>
          <w:rFonts w:ascii="Century Schoolbook" w:eastAsia="Bookman Old Style" w:hAnsi="Century Schoolbook"/>
          <w:sz w:val="24"/>
          <w:szCs w:val="24"/>
        </w:rPr>
        <w:t xml:space="preserve">; </w:t>
      </w:r>
      <w:r>
        <w:rPr>
          <w:rFonts w:ascii="Century Schoolbook" w:eastAsia="Bookman Old Style" w:hAnsi="Century Schoolbook"/>
          <w:i/>
          <w:iCs/>
          <w:sz w:val="24"/>
          <w:szCs w:val="24"/>
        </w:rPr>
        <w:t>accord Humphrey</w:t>
      </w:r>
      <w:r>
        <w:rPr>
          <w:rFonts w:ascii="Century Schoolbook" w:eastAsia="Bookman Old Style" w:hAnsi="Century Schoolbook"/>
          <w:sz w:val="24"/>
          <w:szCs w:val="24"/>
        </w:rPr>
        <w:t xml:space="preserve">, </w:t>
      </w:r>
      <w:r>
        <w:rPr>
          <w:rFonts w:ascii="Century Schoolbook" w:eastAsia="Bookman Old Style" w:hAnsi="Century Schoolbook"/>
          <w:i/>
          <w:iCs/>
          <w:sz w:val="24"/>
          <w:szCs w:val="24"/>
        </w:rPr>
        <w:t>supra</w:t>
      </w:r>
      <w:r>
        <w:rPr>
          <w:rFonts w:ascii="Century Schoolbook" w:eastAsia="Bookman Old Style" w:hAnsi="Century Schoolbook"/>
          <w:sz w:val="24"/>
          <w:szCs w:val="24"/>
        </w:rPr>
        <w:t xml:space="preserve">, 276 Cal.Rptr.3d 232 at 245 [“superior court must undertake an individualized consideration of the relevant factors”]. This part of the Court of Appeal’s decision is precedential. See </w:t>
      </w:r>
      <w:r>
        <w:rPr>
          <w:rFonts w:ascii="Century Schoolbook" w:eastAsia="Bookman Old Style" w:hAnsi="Century Schoolbook"/>
          <w:i/>
          <w:iCs/>
          <w:sz w:val="24"/>
          <w:szCs w:val="24"/>
        </w:rPr>
        <w:t>In re Humphrey</w:t>
      </w:r>
      <w:r>
        <w:rPr>
          <w:rFonts w:ascii="Century Schoolbook" w:eastAsia="Bookman Old Style" w:hAnsi="Century Schoolbook"/>
          <w:sz w:val="24"/>
          <w:szCs w:val="24"/>
        </w:rPr>
        <w:t xml:space="preserve"> (2020) 268 Cal.Rptr.3d 119 [restoring precedential effect in part].</w:t>
      </w:r>
    </w:p>
  </w:footnote>
  <w:footnote w:id="24">
    <w:p w14:paraId="13ADB86B" w14:textId="1B5A4246"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Pr>
          <w:rFonts w:eastAsia="Bookman Old Style"/>
          <w:i/>
          <w:szCs w:val="24"/>
        </w:rPr>
        <w:t>Humphrey</w:t>
      </w:r>
      <w:r w:rsidRPr="006F5709">
        <w:rPr>
          <w:rFonts w:eastAsia="Bookman Old Style"/>
          <w:szCs w:val="24"/>
        </w:rPr>
        <w:t xml:space="preserve">, </w:t>
      </w:r>
      <w:r>
        <w:rPr>
          <w:rFonts w:eastAsia="Bookman Old Style"/>
          <w:szCs w:val="24"/>
        </w:rPr>
        <w:t xml:space="preserve">19 Cal.App.5th </w:t>
      </w:r>
      <w:r w:rsidRPr="006F5709">
        <w:rPr>
          <w:rFonts w:eastAsia="Bookman Old Style"/>
          <w:szCs w:val="24"/>
        </w:rPr>
        <w:t>at 1044.</w:t>
      </w:r>
    </w:p>
  </w:footnote>
  <w:footnote w:id="25">
    <w:p w14:paraId="0A889374" w14:textId="58319BAA"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6F5709">
        <w:rPr>
          <w:rFonts w:eastAsia="Bookman Old Style"/>
          <w:i/>
          <w:szCs w:val="24"/>
        </w:rPr>
        <w:t>Ibid</w:t>
      </w:r>
      <w:r>
        <w:rPr>
          <w:rFonts w:eastAsia="Bookman Old Style"/>
          <w:i/>
          <w:szCs w:val="24"/>
        </w:rPr>
        <w:t>.</w:t>
      </w:r>
      <w:r w:rsidRPr="006F5709">
        <w:rPr>
          <w:rFonts w:eastAsia="Bookman Old Style"/>
          <w:szCs w:val="24"/>
        </w:rPr>
        <w:t xml:space="preserve"> [“For poor persons arrested for felonies, reliance on bail schedules amounts to a virtual presumption of incarceration. According to a San Francisco study, last year 85 percent of the inmates of the county jail were awaiting trial and ‘[o]f these, 40</w:t>
      </w:r>
      <w:r>
        <w:rPr>
          <w:rFonts w:eastAsia="Bookman Old Style"/>
          <w:szCs w:val="24"/>
        </w:rPr>
        <w:t>-</w:t>
      </w:r>
      <w:r w:rsidRPr="006F5709">
        <w:rPr>
          <w:rFonts w:eastAsia="Bookman Old Style"/>
          <w:szCs w:val="24"/>
        </w:rPr>
        <w:t>50% could be released if they could afford to pay their bail.’ (</w:t>
      </w:r>
      <w:r w:rsidRPr="0011235C">
        <w:rPr>
          <w:rFonts w:eastAsia="Bookman Old Style"/>
          <w:i/>
          <w:iCs/>
          <w:szCs w:val="24"/>
        </w:rPr>
        <w:t>The Financial Justice Project, Office of the Treasurer &amp; Tax Collector of the City and County of San Francisco, Do the Math: Money Bail Doesn’t Add up for San Francisco</w:t>
      </w:r>
      <w:r w:rsidRPr="006F5709">
        <w:rPr>
          <w:rFonts w:eastAsia="Bookman Old Style"/>
          <w:szCs w:val="24"/>
        </w:rPr>
        <w:t xml:space="preserve"> (June 2017) p. 4.</w:t>
      </w:r>
      <w:r>
        <w:rPr>
          <w:rFonts w:eastAsia="Bookman Old Style"/>
          <w:szCs w:val="24"/>
        </w:rPr>
        <w:t>)</w:t>
      </w:r>
      <w:r w:rsidRPr="006F5709">
        <w:rPr>
          <w:rFonts w:eastAsia="Bookman Old Style"/>
          <w:szCs w:val="24"/>
        </w:rPr>
        <w:t>”].</w:t>
      </w:r>
    </w:p>
  </w:footnote>
  <w:footnote w:id="26">
    <w:p w14:paraId="711F112F" w14:textId="20807F05"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bookmarkStart w:id="3" w:name="_Hlk56691117"/>
      <w:r w:rsidRPr="006F5709">
        <w:rPr>
          <w:rFonts w:ascii="Century Schoolbook" w:hAnsi="Century Schoolbook"/>
          <w:i/>
          <w:iCs/>
          <w:sz w:val="24"/>
          <w:szCs w:val="24"/>
        </w:rPr>
        <w:t>Salerno</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481 U.S. at 739</w:t>
      </w:r>
      <w:bookmarkEnd w:id="3"/>
      <w:r w:rsidRPr="006F5709">
        <w:rPr>
          <w:rFonts w:ascii="Century Schoolbook" w:hAnsi="Century Schoolbook"/>
          <w:sz w:val="24"/>
          <w:szCs w:val="24"/>
        </w:rPr>
        <w:t>.</w:t>
      </w:r>
    </w:p>
  </w:footnote>
  <w:footnote w:id="27">
    <w:p w14:paraId="2C0B8098" w14:textId="528DC360"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Humphrey</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xml:space="preserve">, 19 Cal.App.5th at 1031; see </w:t>
      </w:r>
      <w:r w:rsidRPr="006F5709">
        <w:rPr>
          <w:rFonts w:ascii="Century Schoolbook" w:hAnsi="Century Schoolbook"/>
          <w:i/>
          <w:iCs/>
          <w:sz w:val="24"/>
          <w:szCs w:val="24"/>
        </w:rPr>
        <w:t>Salerno</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481 U.S. at 739.</w:t>
      </w:r>
    </w:p>
  </w:footnote>
  <w:footnote w:id="28">
    <w:p w14:paraId="46EC005A" w14:textId="621D2548" w:rsidR="00CF1160" w:rsidRPr="00AF2B2F"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Stack v. Boyle</w:t>
      </w:r>
      <w:r w:rsidRPr="006F5709">
        <w:rPr>
          <w:rFonts w:ascii="Century Schoolbook" w:hAnsi="Century Schoolbook"/>
          <w:sz w:val="24"/>
          <w:szCs w:val="24"/>
        </w:rPr>
        <w:t xml:space="preserve"> (1951) 342 U.S. 1, 4, emphasis added.</w:t>
      </w:r>
      <w:r>
        <w:rPr>
          <w:rFonts w:ascii="Century Schoolbook" w:hAnsi="Century Schoolbook"/>
          <w:sz w:val="24"/>
          <w:szCs w:val="24"/>
        </w:rPr>
        <w:t xml:space="preserve"> In dicta, the Court in </w:t>
      </w:r>
      <w:r>
        <w:rPr>
          <w:rFonts w:ascii="Century Schoolbook" w:hAnsi="Century Schoolbook"/>
          <w:i/>
          <w:iCs/>
          <w:sz w:val="24"/>
          <w:szCs w:val="24"/>
        </w:rPr>
        <w:t>Humphrey</w:t>
      </w:r>
      <w:r>
        <w:rPr>
          <w:rFonts w:ascii="Century Schoolbook" w:hAnsi="Century Schoolbook"/>
          <w:sz w:val="24"/>
          <w:szCs w:val="24"/>
        </w:rPr>
        <w:t xml:space="preserve"> noted that courts must assume the truth of criminal charges, citing a 142-year-old case, </w:t>
      </w:r>
      <w:r>
        <w:rPr>
          <w:rFonts w:ascii="Century Schoolbook" w:hAnsi="Century Schoolbook"/>
          <w:i/>
          <w:iCs/>
          <w:sz w:val="24"/>
          <w:szCs w:val="24"/>
        </w:rPr>
        <w:t>Ex parte Duncan</w:t>
      </w:r>
      <w:r>
        <w:rPr>
          <w:rFonts w:ascii="Century Schoolbook" w:hAnsi="Century Schoolbook"/>
          <w:sz w:val="24"/>
          <w:szCs w:val="24"/>
        </w:rPr>
        <w:t xml:space="preserve">. </w:t>
      </w:r>
      <w:r>
        <w:rPr>
          <w:rFonts w:ascii="Century Schoolbook" w:hAnsi="Century Schoolbook"/>
          <w:i/>
          <w:iCs/>
          <w:sz w:val="24"/>
          <w:szCs w:val="24"/>
        </w:rPr>
        <w:t>Humphrey</w:t>
      </w:r>
      <w:r>
        <w:rPr>
          <w:rFonts w:ascii="Century Schoolbook" w:hAnsi="Century Schoolbook"/>
          <w:sz w:val="24"/>
          <w:szCs w:val="24"/>
        </w:rPr>
        <w:t xml:space="preserve">, </w:t>
      </w:r>
      <w:r>
        <w:rPr>
          <w:rFonts w:ascii="Century Schoolbook" w:hAnsi="Century Schoolbook"/>
          <w:i/>
          <w:iCs/>
          <w:sz w:val="24"/>
          <w:szCs w:val="24"/>
        </w:rPr>
        <w:t>supra</w:t>
      </w:r>
      <w:r>
        <w:rPr>
          <w:rFonts w:ascii="Century Schoolbook" w:hAnsi="Century Schoolbook"/>
          <w:sz w:val="24"/>
          <w:szCs w:val="24"/>
        </w:rPr>
        <w:t xml:space="preserve">, at p. 245 [citing </w:t>
      </w:r>
      <w:r>
        <w:rPr>
          <w:rFonts w:ascii="Century Schoolbook" w:hAnsi="Century Schoolbook"/>
          <w:i/>
          <w:iCs/>
          <w:sz w:val="24"/>
          <w:szCs w:val="24"/>
        </w:rPr>
        <w:t>Ex parte Duncan</w:t>
      </w:r>
      <w:r>
        <w:rPr>
          <w:rFonts w:ascii="Century Schoolbook" w:hAnsi="Century Schoolbook"/>
          <w:sz w:val="24"/>
          <w:szCs w:val="24"/>
        </w:rPr>
        <w:t xml:space="preserve"> (1879) 53 Cal. 410 and </w:t>
      </w:r>
      <w:r>
        <w:rPr>
          <w:rFonts w:ascii="Century Schoolbook" w:hAnsi="Century Schoolbook"/>
          <w:i/>
          <w:iCs/>
          <w:sz w:val="24"/>
          <w:szCs w:val="24"/>
        </w:rPr>
        <w:t>Ex parte Ruef</w:t>
      </w:r>
      <w:r>
        <w:rPr>
          <w:rFonts w:ascii="Century Schoolbook" w:hAnsi="Century Schoolbook"/>
          <w:sz w:val="24"/>
          <w:szCs w:val="24"/>
        </w:rPr>
        <w:t xml:space="preserve"> (1908) 7 Cal.App. 750]. </w:t>
      </w:r>
      <w:r w:rsidRPr="00031E93">
        <w:rPr>
          <w:rFonts w:ascii="Century Schoolbook" w:hAnsi="Century Schoolbook"/>
          <w:i/>
          <w:iCs/>
          <w:sz w:val="24"/>
          <w:szCs w:val="24"/>
        </w:rPr>
        <w:t>Duncan</w:t>
      </w:r>
      <w:r>
        <w:rPr>
          <w:rFonts w:ascii="Century Schoolbook" w:hAnsi="Century Schoolbook"/>
          <w:sz w:val="24"/>
          <w:szCs w:val="24"/>
        </w:rPr>
        <w:t xml:space="preserve"> in turn </w:t>
      </w:r>
      <w:r w:rsidRPr="00031E93">
        <w:rPr>
          <w:rFonts w:ascii="Century Schoolbook" w:hAnsi="Century Schoolbook"/>
          <w:sz w:val="24"/>
          <w:szCs w:val="24"/>
        </w:rPr>
        <w:t>relies</w:t>
      </w:r>
      <w:r>
        <w:rPr>
          <w:rFonts w:ascii="Century Schoolbook" w:hAnsi="Century Schoolbook"/>
          <w:sz w:val="24"/>
          <w:szCs w:val="24"/>
        </w:rPr>
        <w:t xml:space="preserve"> on a single-justice decision, </w:t>
      </w:r>
      <w:r>
        <w:rPr>
          <w:rFonts w:ascii="Century Schoolbook" w:hAnsi="Century Schoolbook"/>
          <w:i/>
          <w:iCs/>
          <w:sz w:val="24"/>
          <w:szCs w:val="24"/>
        </w:rPr>
        <w:t>Ex parte Ryan</w:t>
      </w:r>
      <w:r>
        <w:rPr>
          <w:rFonts w:ascii="Century Schoolbook" w:hAnsi="Century Schoolbook"/>
          <w:sz w:val="24"/>
          <w:szCs w:val="24"/>
        </w:rPr>
        <w:t xml:space="preserve"> (1872) 44 Cal. 558, which cites no authority for a “presumption of guilt” at a bail hearing. The Court is presently considering a request to modify the opinion to remove this sentence, and the Attorney General has indicated that he does not oppose this modification. The Court should not rely on this non-binding dicta, which may soon be deleted from the opinion altogether. A presumption of guilt before conviction is inconsistent with the principles of our legal system, and with </w:t>
      </w:r>
      <w:r>
        <w:rPr>
          <w:rFonts w:ascii="Century Schoolbook" w:hAnsi="Century Schoolbook"/>
          <w:i/>
          <w:iCs/>
          <w:sz w:val="24"/>
          <w:szCs w:val="24"/>
        </w:rPr>
        <w:t>Humphrey</w:t>
      </w:r>
      <w:r>
        <w:rPr>
          <w:rFonts w:ascii="Century Schoolbook" w:hAnsi="Century Schoolbook"/>
          <w:sz w:val="24"/>
          <w:szCs w:val="24"/>
        </w:rPr>
        <w:t xml:space="preserve">’s requirement that the prosecution prove by clear and convincing evidence that there is no reasonable alternative to </w:t>
      </w:r>
      <w:r>
        <w:rPr>
          <w:rFonts w:ascii="Century Schoolbook" w:hAnsi="Century Schoolbook"/>
          <w:i/>
          <w:iCs/>
          <w:sz w:val="24"/>
          <w:szCs w:val="24"/>
        </w:rPr>
        <w:t>de facto</w:t>
      </w:r>
      <w:r>
        <w:rPr>
          <w:rFonts w:ascii="Century Schoolbook" w:hAnsi="Century Schoolbook"/>
          <w:sz w:val="24"/>
          <w:szCs w:val="24"/>
        </w:rPr>
        <w:t xml:space="preserve"> pretrial detention.</w:t>
      </w:r>
    </w:p>
  </w:footnote>
  <w:footnote w:id="29">
    <w:p w14:paraId="348D6D8F" w14:textId="741BF746"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sz w:val="24"/>
          <w:szCs w:val="24"/>
        </w:rPr>
        <w:t>In re Pipinos</w:t>
      </w:r>
      <w:r w:rsidRPr="006F5709">
        <w:rPr>
          <w:rFonts w:ascii="Century Schoolbook" w:hAnsi="Century Schoolbook"/>
          <w:sz w:val="24"/>
          <w:szCs w:val="24"/>
        </w:rPr>
        <w:t xml:space="preserve"> (1982) 33 Cal.3d 189, 199.</w:t>
      </w:r>
    </w:p>
  </w:footnote>
  <w:footnote w:id="30">
    <w:p w14:paraId="6D3C1E0B" w14:textId="7D3DE654"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In re Pipinos</w:t>
      </w:r>
      <w:r w:rsidRPr="006F5709">
        <w:rPr>
          <w:rFonts w:ascii="Century Schoolbook" w:hAnsi="Century Schoolbook"/>
          <w:sz w:val="24"/>
          <w:szCs w:val="24"/>
        </w:rPr>
        <w:t xml:space="preserve">, </w:t>
      </w:r>
      <w:r w:rsidRPr="006F5709">
        <w:rPr>
          <w:rFonts w:ascii="Century Schoolbook" w:hAnsi="Century Schoolbook"/>
          <w:i/>
          <w:iCs/>
          <w:sz w:val="24"/>
          <w:szCs w:val="24"/>
        </w:rPr>
        <w:t>supra</w:t>
      </w:r>
      <w:r w:rsidRPr="006F5709">
        <w:rPr>
          <w:rFonts w:ascii="Century Schoolbook" w:hAnsi="Century Schoolbook"/>
          <w:sz w:val="24"/>
          <w:szCs w:val="24"/>
        </w:rPr>
        <w:t>, 33 Cal.3d at 200.</w:t>
      </w:r>
    </w:p>
  </w:footnote>
  <w:footnote w:id="31">
    <w:p w14:paraId="3C18AAA7" w14:textId="539174DA"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 xml:space="preserve">In re </w:t>
      </w:r>
      <w:r w:rsidRPr="006F5709">
        <w:rPr>
          <w:rFonts w:ascii="Century Schoolbook" w:eastAsia="Bookman Old Style" w:hAnsi="Century Schoolbook"/>
          <w:i/>
          <w:iCs/>
          <w:sz w:val="24"/>
          <w:szCs w:val="24"/>
        </w:rPr>
        <w:t>Christie</w:t>
      </w:r>
      <w:r w:rsidRPr="006F5709">
        <w:rPr>
          <w:rFonts w:ascii="Century Schoolbook" w:eastAsia="Bookman Old Style" w:hAnsi="Century Schoolbook"/>
          <w:sz w:val="24"/>
          <w:szCs w:val="24"/>
        </w:rPr>
        <w:t xml:space="preserve">, </w:t>
      </w:r>
      <w:r w:rsidRPr="006F5709">
        <w:rPr>
          <w:rFonts w:ascii="Century Schoolbook" w:eastAsia="Bookman Old Style" w:hAnsi="Century Schoolbook"/>
          <w:i/>
          <w:iCs/>
          <w:sz w:val="24"/>
          <w:szCs w:val="24"/>
        </w:rPr>
        <w:t>supra</w:t>
      </w:r>
      <w:r w:rsidRPr="006F5709">
        <w:rPr>
          <w:rFonts w:ascii="Century Schoolbook" w:eastAsia="Bookman Old Style" w:hAnsi="Century Schoolbook"/>
          <w:sz w:val="24"/>
          <w:szCs w:val="24"/>
        </w:rPr>
        <w:t xml:space="preserve">, </w:t>
      </w:r>
      <w:bookmarkStart w:id="4" w:name="_Hlk56688642"/>
      <w:r w:rsidRPr="006F5709">
        <w:rPr>
          <w:rFonts w:ascii="Century Schoolbook" w:eastAsia="Bookman Old Style" w:hAnsi="Century Schoolbook"/>
          <w:sz w:val="24"/>
          <w:szCs w:val="24"/>
        </w:rPr>
        <w:t xml:space="preserve">92 Cal.App.4th </w:t>
      </w:r>
      <w:bookmarkEnd w:id="4"/>
      <w:r w:rsidRPr="006F5709">
        <w:rPr>
          <w:rFonts w:ascii="Century Schoolbook" w:eastAsia="Bookman Old Style" w:hAnsi="Century Schoolbook"/>
          <w:sz w:val="24"/>
          <w:szCs w:val="24"/>
        </w:rPr>
        <w:t xml:space="preserve">at 1109, citing </w:t>
      </w:r>
      <w:r w:rsidRPr="006F5709">
        <w:rPr>
          <w:rFonts w:ascii="Century Schoolbook" w:eastAsia="Bookman Old Style" w:hAnsi="Century Schoolbook"/>
          <w:i/>
          <w:iCs/>
          <w:sz w:val="24"/>
          <w:szCs w:val="24"/>
        </w:rPr>
        <w:t>In re Bright</w:t>
      </w:r>
      <w:r w:rsidRPr="006F5709">
        <w:rPr>
          <w:rFonts w:ascii="Century Schoolbook" w:eastAsia="Bookman Old Style" w:hAnsi="Century Schoolbook"/>
          <w:sz w:val="24"/>
          <w:szCs w:val="24"/>
        </w:rPr>
        <w:t xml:space="preserve"> (1993) 13 Cal.App.4th 1664, 1671.</w:t>
      </w:r>
    </w:p>
  </w:footnote>
  <w:footnote w:id="32">
    <w:p w14:paraId="2443D5C4" w14:textId="4EB1FBFA"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hAnsi="Century Schoolbook"/>
          <w:i/>
          <w:iCs/>
          <w:sz w:val="24"/>
          <w:szCs w:val="24"/>
        </w:rPr>
        <w:t>In re White</w:t>
      </w:r>
      <w:r w:rsidRPr="006F5709">
        <w:rPr>
          <w:rFonts w:ascii="Century Schoolbook" w:hAnsi="Century Schoolbook"/>
          <w:sz w:val="24"/>
          <w:szCs w:val="24"/>
        </w:rPr>
        <w:t xml:space="preserve"> (2020) 9 Cal.5th 455, 471, s</w:t>
      </w:r>
      <w:r w:rsidRPr="006F5709">
        <w:rPr>
          <w:rFonts w:ascii="Century Schoolbook" w:eastAsia="Bookman Old Style" w:hAnsi="Century Schoolbook"/>
          <w:sz w:val="24"/>
          <w:szCs w:val="24"/>
        </w:rPr>
        <w:t xml:space="preserve">ee Pretrial Detention Reform Workgroup, Pretrial Detention Reform: Recommendations to the Chief Justice (Oct. 2017) p. 14; Bibas, </w:t>
      </w:r>
      <w:r w:rsidRPr="006F5709">
        <w:rPr>
          <w:rFonts w:ascii="Century Schoolbook" w:eastAsia="Bookman Old Style" w:hAnsi="Century Schoolbook"/>
          <w:i/>
          <w:iCs/>
          <w:sz w:val="24"/>
          <w:szCs w:val="24"/>
        </w:rPr>
        <w:t>Plea Bargaining Outside the Shadow of Trial</w:t>
      </w:r>
      <w:r w:rsidRPr="006F5709">
        <w:rPr>
          <w:rFonts w:ascii="Century Schoolbook" w:eastAsia="Bookman Old Style" w:hAnsi="Century Schoolbook"/>
          <w:sz w:val="24"/>
          <w:szCs w:val="24"/>
        </w:rPr>
        <w:t xml:space="preserve"> (2004) 117 Harv. L.Rev. 2463, 2492-2493</w:t>
      </w:r>
      <w:r>
        <w:rPr>
          <w:rFonts w:ascii="Century Schoolbook" w:eastAsia="Bookman Old Style" w:hAnsi="Century Schoolbook"/>
          <w:sz w:val="24"/>
          <w:szCs w:val="24"/>
        </w:rPr>
        <w:t>.</w:t>
      </w:r>
    </w:p>
  </w:footnote>
  <w:footnote w:id="33">
    <w:p w14:paraId="37EE87EF" w14:textId="3F88242E"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6F5709">
        <w:rPr>
          <w:rFonts w:eastAsia="Bookman Old Style"/>
          <w:i/>
          <w:szCs w:val="24"/>
        </w:rPr>
        <w:t>Humphrey</w:t>
      </w:r>
      <w:r w:rsidRPr="006F5709">
        <w:rPr>
          <w:rFonts w:eastAsia="Bookman Old Style"/>
          <w:szCs w:val="24"/>
        </w:rPr>
        <w:t xml:space="preserve">, </w:t>
      </w:r>
      <w:r w:rsidRPr="006F5709">
        <w:rPr>
          <w:rFonts w:eastAsia="Bookman Old Style"/>
          <w:i/>
          <w:szCs w:val="24"/>
        </w:rPr>
        <w:t>supra</w:t>
      </w:r>
      <w:r w:rsidRPr="006F5709">
        <w:rPr>
          <w:rFonts w:eastAsia="Bookman Old Style"/>
          <w:szCs w:val="24"/>
        </w:rPr>
        <w:t>, 19 Cal.App.5th at 1029, emphasis added.</w:t>
      </w:r>
    </w:p>
  </w:footnote>
  <w:footnote w:id="34">
    <w:p w14:paraId="1CE10730" w14:textId="574CB62C"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sz w:val="24"/>
          <w:szCs w:val="24"/>
        </w:rPr>
        <w:t xml:space="preserve">Reem v. Hennessy </w:t>
      </w:r>
      <w:r w:rsidRPr="006F5709">
        <w:rPr>
          <w:rFonts w:ascii="Century Schoolbook" w:eastAsia="Bookman Old Style" w:hAnsi="Century Schoolbook"/>
          <w:sz w:val="24"/>
          <w:szCs w:val="24"/>
        </w:rPr>
        <w:t>(N.D. Cal. Dec. 21, 2017) No. 17-CV-06628-CRB, 2017 WL 6539760, at *4.</w:t>
      </w:r>
    </w:p>
  </w:footnote>
  <w:footnote w:id="35">
    <w:p w14:paraId="64F5D33B" w14:textId="35291412"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Pen. Code, §§ 1269, 1305(a); see also </w:t>
      </w:r>
      <w:r w:rsidRPr="006F5709">
        <w:rPr>
          <w:rFonts w:eastAsia="Bookman Old Style"/>
          <w:i/>
          <w:szCs w:val="24"/>
        </w:rPr>
        <w:t xml:space="preserve">People v. Nat’l Auto. &amp; Cas. Ins. Co. </w:t>
      </w:r>
      <w:r w:rsidRPr="006F5709">
        <w:rPr>
          <w:rFonts w:eastAsia="Bookman Old Style"/>
          <w:szCs w:val="24"/>
        </w:rPr>
        <w:t>(2002) 98 Cal.App.4th 277, 285 [“‘forfeiture of bail’ can only occur in one circumstance—when a defendant fails to appear at a scheduled court appearance without sufficient excuse”].</w:t>
      </w:r>
    </w:p>
  </w:footnote>
  <w:footnote w:id="36">
    <w:p w14:paraId="5C4C7772" w14:textId="2F4FC67B" w:rsidR="00CF1160" w:rsidRPr="00434B0B" w:rsidRDefault="00CF1160" w:rsidP="0032004D">
      <w:pPr>
        <w:pStyle w:val="FootnoteText"/>
        <w:spacing w:after="0" w:line="240" w:lineRule="auto"/>
        <w:rPr>
          <w:rFonts w:ascii="Century Schoolbook" w:hAnsi="Century Schoolbook"/>
          <w:sz w:val="24"/>
          <w:szCs w:val="24"/>
        </w:rPr>
      </w:pPr>
      <w:r w:rsidRPr="00434B0B">
        <w:rPr>
          <w:rStyle w:val="FootnoteReference"/>
          <w:rFonts w:ascii="Century Schoolbook" w:hAnsi="Century Schoolbook"/>
          <w:sz w:val="24"/>
          <w:szCs w:val="24"/>
        </w:rPr>
        <w:footnoteRef/>
      </w:r>
      <w:r w:rsidRPr="00434B0B">
        <w:rPr>
          <w:rFonts w:ascii="Century Schoolbook" w:hAnsi="Century Schoolbook"/>
          <w:sz w:val="24"/>
          <w:szCs w:val="24"/>
        </w:rPr>
        <w:t xml:space="preserve"> </w:t>
      </w:r>
      <w:r>
        <w:rPr>
          <w:rFonts w:ascii="Century Schoolbook" w:hAnsi="Century Schoolbook"/>
          <w:sz w:val="24"/>
          <w:szCs w:val="24"/>
        </w:rPr>
        <w:t>In addition to capital cases, no-bail d</w:t>
      </w:r>
      <w:r w:rsidRPr="00434B0B">
        <w:rPr>
          <w:rFonts w:ascii="Century Schoolbook" w:hAnsi="Century Schoolbook"/>
          <w:sz w:val="24"/>
          <w:szCs w:val="24"/>
        </w:rPr>
        <w:t xml:space="preserve">etention is permitted only upon a substantial showing of clear and convincing evidence that release would cause great bodily harm or </w:t>
      </w:r>
      <w:r>
        <w:rPr>
          <w:rFonts w:ascii="Century Schoolbook" w:hAnsi="Century Schoolbook"/>
          <w:sz w:val="24"/>
          <w:szCs w:val="24"/>
        </w:rPr>
        <w:t xml:space="preserve">result in </w:t>
      </w:r>
      <w:r w:rsidRPr="00434B0B">
        <w:rPr>
          <w:rFonts w:ascii="Century Schoolbook" w:hAnsi="Century Schoolbook"/>
          <w:sz w:val="24"/>
          <w:szCs w:val="24"/>
        </w:rPr>
        <w:t>carry</w:t>
      </w:r>
      <w:r>
        <w:rPr>
          <w:rFonts w:ascii="Century Schoolbook" w:hAnsi="Century Schoolbook"/>
          <w:sz w:val="24"/>
          <w:szCs w:val="24"/>
        </w:rPr>
        <w:t>ing</w:t>
      </w:r>
      <w:r w:rsidRPr="00434B0B">
        <w:rPr>
          <w:rFonts w:ascii="Century Schoolbook" w:hAnsi="Century Schoolbook"/>
          <w:sz w:val="24"/>
          <w:szCs w:val="24"/>
        </w:rPr>
        <w:t xml:space="preserve"> out a threat to a specific person. (Cal. Const., art. 1, § 12</w:t>
      </w:r>
      <w:r>
        <w:rPr>
          <w:rFonts w:ascii="Century Schoolbook" w:hAnsi="Century Schoolbook"/>
          <w:sz w:val="24"/>
          <w:szCs w:val="24"/>
        </w:rPr>
        <w:t xml:space="preserve">(a), </w:t>
      </w:r>
      <w:r w:rsidRPr="00434B0B">
        <w:rPr>
          <w:rFonts w:ascii="Century Schoolbook" w:hAnsi="Century Schoolbook"/>
          <w:sz w:val="24"/>
          <w:szCs w:val="24"/>
        </w:rPr>
        <w:t>(b) and (c).</w:t>
      </w:r>
      <w:r>
        <w:rPr>
          <w:rFonts w:ascii="Century Schoolbook" w:hAnsi="Century Schoolbook"/>
          <w:sz w:val="24"/>
          <w:szCs w:val="24"/>
        </w:rPr>
        <w:t>)</w:t>
      </w:r>
    </w:p>
  </w:footnote>
  <w:footnote w:id="37">
    <w:p w14:paraId="45B57472" w14:textId="215F4B6C"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0A4BAD">
        <w:rPr>
          <w:rFonts w:eastAsia="Bookman Old Style"/>
          <w:b/>
          <w:bCs/>
          <w:szCs w:val="24"/>
        </w:rPr>
        <w:t xml:space="preserve">Exhibit </w:t>
      </w:r>
      <w:r>
        <w:rPr>
          <w:rFonts w:eastAsia="Bookman Old Style"/>
          <w:b/>
          <w:bCs/>
          <w:szCs w:val="24"/>
        </w:rPr>
        <w:t>B</w:t>
      </w:r>
      <w:r>
        <w:rPr>
          <w:rFonts w:eastAsia="Bookman Old Style"/>
          <w:szCs w:val="24"/>
        </w:rPr>
        <w:t>.</w:t>
      </w:r>
    </w:p>
  </w:footnote>
  <w:footnote w:id="38">
    <w:p w14:paraId="5D411679" w14:textId="44CCED79" w:rsidR="00CF1160" w:rsidRPr="006F5709" w:rsidRDefault="00CF1160" w:rsidP="007B1A19">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0A4BAD">
        <w:rPr>
          <w:rFonts w:eastAsia="Bookman Old Style"/>
          <w:b/>
          <w:bCs/>
          <w:szCs w:val="24"/>
        </w:rPr>
        <w:t xml:space="preserve">Exhibit </w:t>
      </w:r>
      <w:r>
        <w:rPr>
          <w:rFonts w:eastAsia="Bookman Old Style"/>
          <w:b/>
          <w:bCs/>
          <w:szCs w:val="24"/>
        </w:rPr>
        <w:t>B</w:t>
      </w:r>
      <w:r>
        <w:rPr>
          <w:rFonts w:eastAsia="Bookman Old Style"/>
          <w:szCs w:val="24"/>
        </w:rPr>
        <w:t>.</w:t>
      </w:r>
    </w:p>
  </w:footnote>
  <w:footnote w:id="39">
    <w:p w14:paraId="2B8E04FD" w14:textId="3F35C4B8" w:rsidR="00CF1160" w:rsidRPr="006F570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Estelle v. Gamble</w:t>
      </w:r>
      <w:r w:rsidRPr="006F5709">
        <w:rPr>
          <w:rFonts w:ascii="Century Schoolbook" w:eastAsia="Bookman Old Style" w:hAnsi="Century Schoolbook"/>
          <w:sz w:val="24"/>
          <w:szCs w:val="24"/>
        </w:rPr>
        <w:t xml:space="preserve"> (1976) 429 U.S. 97, 103</w:t>
      </w:r>
      <w:r>
        <w:rPr>
          <w:rFonts w:ascii="Century Schoolbook" w:eastAsia="Bookman Old Style" w:hAnsi="Century Schoolbook"/>
          <w:sz w:val="24"/>
          <w:szCs w:val="24"/>
        </w:rPr>
        <w:t>.</w:t>
      </w:r>
    </w:p>
  </w:footnote>
  <w:footnote w:id="40">
    <w:p w14:paraId="70F377C6" w14:textId="0B750102" w:rsidR="00CF1160" w:rsidRPr="00F16149" w:rsidRDefault="00CF1160" w:rsidP="007B1A19">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F16149">
        <w:rPr>
          <w:rFonts w:ascii="Century Schoolbook" w:hAnsi="Century Schoolbook"/>
          <w:i/>
          <w:iCs/>
          <w:sz w:val="24"/>
          <w:szCs w:val="24"/>
        </w:rPr>
        <w:t>Helling v. McKinney</w:t>
      </w:r>
      <w:r w:rsidRPr="00F16149">
        <w:rPr>
          <w:rFonts w:ascii="Century Schoolbook" w:hAnsi="Century Schoolbook"/>
          <w:sz w:val="24"/>
          <w:szCs w:val="24"/>
        </w:rPr>
        <w:t xml:space="preserve"> (1993) 509 U.S. 25, 33</w:t>
      </w:r>
      <w:r>
        <w:rPr>
          <w:rFonts w:ascii="Century Schoolbook" w:hAnsi="Century Schoolbook"/>
          <w:sz w:val="24"/>
          <w:szCs w:val="24"/>
        </w:rPr>
        <w:t>.</w:t>
      </w:r>
    </w:p>
  </w:footnote>
  <w:footnote w:id="41">
    <w:p w14:paraId="09A6E165" w14:textId="64A78F7D" w:rsidR="00CF1160" w:rsidRPr="006F5709" w:rsidRDefault="00CF1160" w:rsidP="00B56032">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sz w:val="24"/>
          <w:szCs w:val="24"/>
        </w:rPr>
        <w:t xml:space="preserve">See </w:t>
      </w:r>
      <w:r w:rsidRPr="006F5709">
        <w:rPr>
          <w:rFonts w:ascii="Century Schoolbook" w:eastAsia="Bookman Old Style" w:hAnsi="Century Schoolbook"/>
          <w:i/>
          <w:iCs/>
          <w:sz w:val="24"/>
          <w:szCs w:val="24"/>
        </w:rPr>
        <w:t>Hutto v. Finney</w:t>
      </w:r>
      <w:r w:rsidRPr="006F5709">
        <w:rPr>
          <w:rFonts w:ascii="Century Schoolbook" w:eastAsia="Bookman Old Style" w:hAnsi="Century Schoolbook"/>
          <w:sz w:val="24"/>
          <w:szCs w:val="24"/>
        </w:rPr>
        <w:t xml:space="preserve"> (1978) 437 U.S. 678, 687, n. 9.</w:t>
      </w:r>
    </w:p>
  </w:footnote>
  <w:footnote w:id="42">
    <w:p w14:paraId="3EC488EE" w14:textId="049F1DE1" w:rsidR="00CF1160" w:rsidRPr="006F5709" w:rsidRDefault="00CF1160" w:rsidP="00B56032">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Cruz v. Beto</w:t>
      </w:r>
      <w:r w:rsidRPr="006F5709">
        <w:rPr>
          <w:rFonts w:ascii="Century Schoolbook" w:eastAsia="Bookman Old Style" w:hAnsi="Century Schoolbook"/>
          <w:sz w:val="24"/>
          <w:szCs w:val="24"/>
        </w:rPr>
        <w:t xml:space="preserve"> (1972) 405 U.S. 319, 321 (per curiam).</w:t>
      </w:r>
    </w:p>
  </w:footnote>
  <w:footnote w:id="43">
    <w:p w14:paraId="730E0102" w14:textId="5634B6EE" w:rsidR="00CF1160" w:rsidRPr="006F5709" w:rsidRDefault="00CF1160" w:rsidP="00B56032">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Inmates of the Riverside County Jail v. Clark</w:t>
      </w:r>
      <w:r w:rsidRPr="006F5709">
        <w:rPr>
          <w:rFonts w:ascii="Century Schoolbook" w:eastAsia="Bookman Old Style" w:hAnsi="Century Schoolbook"/>
          <w:sz w:val="24"/>
          <w:szCs w:val="24"/>
        </w:rPr>
        <w:t xml:space="preserve"> (1983) 144 Cal.App.3d 850, 858.</w:t>
      </w:r>
    </w:p>
  </w:footnote>
  <w:footnote w:id="44">
    <w:p w14:paraId="1A89F9AA" w14:textId="233D974B" w:rsidR="00CF1160" w:rsidRPr="006F5709" w:rsidRDefault="00CF1160" w:rsidP="00B56032">
      <w:pPr>
        <w:pStyle w:val="FootnoteText"/>
        <w:spacing w:after="0" w:line="240" w:lineRule="auto"/>
        <w:rPr>
          <w:rFonts w:ascii="Century Schoolbook" w:hAnsi="Century Schoolbook"/>
          <w:sz w:val="24"/>
          <w:szCs w:val="24"/>
        </w:rPr>
      </w:pPr>
      <w:r w:rsidRPr="006F5709">
        <w:rPr>
          <w:rStyle w:val="FootnoteReference"/>
          <w:rFonts w:ascii="Century Schoolbook" w:hAnsi="Century Schoolbook"/>
          <w:sz w:val="24"/>
          <w:szCs w:val="24"/>
        </w:rPr>
        <w:footnoteRef/>
      </w:r>
      <w:r w:rsidRPr="006F5709">
        <w:rPr>
          <w:rFonts w:ascii="Century Schoolbook" w:hAnsi="Century Schoolbook"/>
          <w:sz w:val="24"/>
          <w:szCs w:val="24"/>
        </w:rPr>
        <w:t xml:space="preserve"> </w:t>
      </w:r>
      <w:r w:rsidRPr="006F5709">
        <w:rPr>
          <w:rFonts w:ascii="Century Schoolbook" w:eastAsia="Bookman Old Style" w:hAnsi="Century Schoolbook"/>
          <w:i/>
          <w:iCs/>
          <w:sz w:val="24"/>
          <w:szCs w:val="24"/>
        </w:rPr>
        <w:t>Gordon v. County of Orange</w:t>
      </w:r>
      <w:r w:rsidRPr="006F5709">
        <w:rPr>
          <w:rFonts w:ascii="Century Schoolbook" w:eastAsia="Bookman Old Style" w:hAnsi="Century Schoolbook"/>
          <w:sz w:val="24"/>
          <w:szCs w:val="24"/>
        </w:rPr>
        <w:t xml:space="preserve"> (2018) 888 F.3d 1118, 1124–1125</w:t>
      </w:r>
      <w:r>
        <w:rPr>
          <w:rFonts w:ascii="Century Schoolbook" w:eastAsia="Bookman Old Style" w:hAnsi="Century Schoolbook"/>
          <w:sz w:val="24"/>
          <w:szCs w:val="24"/>
        </w:rPr>
        <w:t>.</w:t>
      </w:r>
    </w:p>
  </w:footnote>
  <w:footnote w:id="45">
    <w:p w14:paraId="67B1EE72" w14:textId="6C9768F7" w:rsidR="00CF1160" w:rsidRPr="00CC253F" w:rsidRDefault="00CF1160" w:rsidP="006F5709">
      <w:pPr>
        <w:pStyle w:val="FootnoteText"/>
        <w:spacing w:after="0" w:line="240" w:lineRule="auto"/>
        <w:rPr>
          <w:rFonts w:ascii="Century Schoolbook" w:hAnsi="Century Schoolbook"/>
          <w:sz w:val="24"/>
          <w:szCs w:val="24"/>
        </w:rPr>
      </w:pPr>
      <w:r w:rsidRPr="00CC253F">
        <w:rPr>
          <w:rStyle w:val="FootnoteReference"/>
          <w:rFonts w:ascii="Century Schoolbook" w:hAnsi="Century Schoolbook"/>
          <w:sz w:val="24"/>
          <w:szCs w:val="24"/>
        </w:rPr>
        <w:footnoteRef/>
      </w:r>
      <w:r w:rsidRPr="00CC253F">
        <w:rPr>
          <w:rFonts w:ascii="Century Schoolbook" w:hAnsi="Century Schoolbook"/>
          <w:sz w:val="24"/>
          <w:szCs w:val="24"/>
        </w:rPr>
        <w:t xml:space="preserve"> </w:t>
      </w:r>
      <w:r w:rsidRPr="00CC253F">
        <w:rPr>
          <w:rFonts w:ascii="Century Schoolbook" w:hAnsi="Century Schoolbook"/>
          <w:b/>
          <w:bCs/>
          <w:sz w:val="24"/>
          <w:szCs w:val="24"/>
        </w:rPr>
        <w:t>Exhibit B</w:t>
      </w:r>
      <w:r w:rsidRPr="00CC253F">
        <w:rPr>
          <w:rFonts w:ascii="Century Schoolbook" w:hAnsi="Century Schoolbook"/>
          <w:sz w:val="24"/>
          <w:szCs w:val="24"/>
        </w:rPr>
        <w:t>.</w:t>
      </w:r>
    </w:p>
  </w:footnote>
  <w:footnote w:id="46">
    <w:p w14:paraId="5B9F2A46" w14:textId="53181853" w:rsidR="00CF1160" w:rsidRPr="00CC253F" w:rsidRDefault="00CF1160" w:rsidP="006F5709">
      <w:pPr>
        <w:pStyle w:val="FootnoteText"/>
        <w:spacing w:after="0" w:line="240" w:lineRule="auto"/>
        <w:rPr>
          <w:rFonts w:ascii="Century Schoolbook" w:hAnsi="Century Schoolbook"/>
          <w:sz w:val="24"/>
          <w:szCs w:val="24"/>
        </w:rPr>
      </w:pPr>
      <w:r w:rsidRPr="00CC253F">
        <w:rPr>
          <w:rStyle w:val="FootnoteReference"/>
          <w:rFonts w:ascii="Century Schoolbook" w:hAnsi="Century Schoolbook"/>
          <w:sz w:val="24"/>
          <w:szCs w:val="24"/>
        </w:rPr>
        <w:footnoteRef/>
      </w:r>
      <w:r w:rsidRPr="00CC253F">
        <w:rPr>
          <w:rFonts w:ascii="Century Schoolbook" w:hAnsi="Century Schoolbook"/>
          <w:sz w:val="24"/>
          <w:szCs w:val="24"/>
        </w:rPr>
        <w:t xml:space="preserve"> Assem. Bill No. 2542, (2019-2020 Reg. Sess.) (“AB 2542”).</w:t>
      </w:r>
    </w:p>
  </w:footnote>
  <w:footnote w:id="47">
    <w:p w14:paraId="37873BD0" w14:textId="033EA9C5" w:rsidR="00CF1160" w:rsidRPr="00CC253F" w:rsidRDefault="00CF1160" w:rsidP="006F5709">
      <w:pPr>
        <w:pStyle w:val="FootnoteText"/>
        <w:spacing w:after="0" w:line="240" w:lineRule="auto"/>
        <w:rPr>
          <w:rFonts w:ascii="Century Schoolbook" w:hAnsi="Century Schoolbook"/>
          <w:sz w:val="24"/>
          <w:szCs w:val="24"/>
        </w:rPr>
      </w:pPr>
      <w:r w:rsidRPr="00CC253F">
        <w:rPr>
          <w:rStyle w:val="FootnoteReference"/>
          <w:rFonts w:ascii="Century Schoolbook" w:hAnsi="Century Schoolbook"/>
          <w:sz w:val="24"/>
          <w:szCs w:val="24"/>
        </w:rPr>
        <w:footnoteRef/>
      </w:r>
      <w:r w:rsidRPr="00CC253F">
        <w:rPr>
          <w:rFonts w:ascii="Century Schoolbook" w:hAnsi="Century Schoolbook"/>
          <w:sz w:val="24"/>
          <w:szCs w:val="24"/>
        </w:rPr>
        <w:t xml:space="preserve"> AB 2542, § 2(a), (c)).</w:t>
      </w:r>
    </w:p>
  </w:footnote>
  <w:footnote w:id="48">
    <w:p w14:paraId="66190834" w14:textId="41C85231" w:rsidR="00CF1160" w:rsidRPr="00CC253F" w:rsidRDefault="00CF1160" w:rsidP="006F5709">
      <w:pPr>
        <w:pStyle w:val="FootnoteText"/>
        <w:spacing w:after="0" w:line="240" w:lineRule="auto"/>
        <w:rPr>
          <w:rFonts w:ascii="Century Schoolbook" w:hAnsi="Century Schoolbook"/>
          <w:sz w:val="24"/>
          <w:szCs w:val="24"/>
        </w:rPr>
      </w:pPr>
      <w:r w:rsidRPr="00CC253F">
        <w:rPr>
          <w:rStyle w:val="FootnoteReference"/>
          <w:rFonts w:ascii="Century Schoolbook" w:hAnsi="Century Schoolbook"/>
          <w:sz w:val="24"/>
          <w:szCs w:val="24"/>
        </w:rPr>
        <w:footnoteRef/>
      </w:r>
      <w:r w:rsidRPr="00CC253F">
        <w:rPr>
          <w:rFonts w:ascii="Century Schoolbook" w:hAnsi="Century Schoolbook"/>
          <w:sz w:val="24"/>
          <w:szCs w:val="24"/>
        </w:rPr>
        <w:t xml:space="preserve"> AB 2542, § 2(i).</w:t>
      </w:r>
    </w:p>
  </w:footnote>
  <w:footnote w:id="49">
    <w:p w14:paraId="250810BA" w14:textId="420065D5" w:rsidR="00CF1160" w:rsidRPr="00CC253F" w:rsidRDefault="00CF1160" w:rsidP="006F5709">
      <w:pPr>
        <w:spacing w:line="240" w:lineRule="auto"/>
        <w:ind w:firstLine="0"/>
        <w:rPr>
          <w:rFonts w:eastAsia="Bookman Old Style"/>
          <w:szCs w:val="24"/>
        </w:rPr>
      </w:pPr>
      <w:r w:rsidRPr="00CC253F">
        <w:rPr>
          <w:rStyle w:val="FootnoteReference"/>
          <w:szCs w:val="24"/>
        </w:rPr>
        <w:footnoteRef/>
      </w:r>
      <w:r w:rsidRPr="00CC253F">
        <w:rPr>
          <w:rFonts w:eastAsia="Bookman Old Style"/>
          <w:szCs w:val="24"/>
        </w:rPr>
        <w:t xml:space="preserve"> </w:t>
      </w:r>
      <w:r w:rsidRPr="00CC253F">
        <w:rPr>
          <w:rFonts w:eastAsia="Bookman Old Style"/>
          <w:i/>
          <w:iCs/>
          <w:szCs w:val="24"/>
        </w:rPr>
        <w:t>Give Us Free: Addressing Racial Disparities in Bail Determinations</w:t>
      </w:r>
      <w:r w:rsidRPr="00CC253F">
        <w:rPr>
          <w:rFonts w:eastAsia="Bookman Old Style"/>
          <w:szCs w:val="24"/>
        </w:rPr>
        <w:t xml:space="preserve"> by Cynthia E. Jones.</w:t>
      </w:r>
    </w:p>
  </w:footnote>
  <w:footnote w:id="50">
    <w:p w14:paraId="41767135" w14:textId="77777777" w:rsidR="00CF1160" w:rsidRPr="00CC253F" w:rsidRDefault="00CF1160" w:rsidP="00B56032">
      <w:pPr>
        <w:spacing w:line="240" w:lineRule="auto"/>
        <w:ind w:firstLine="0"/>
        <w:rPr>
          <w:rFonts w:eastAsia="Bookman Old Style"/>
          <w:szCs w:val="24"/>
        </w:rPr>
      </w:pPr>
      <w:r w:rsidRPr="00CC253F">
        <w:rPr>
          <w:rStyle w:val="FootnoteReference"/>
          <w:szCs w:val="24"/>
        </w:rPr>
        <w:footnoteRef/>
      </w:r>
      <w:r w:rsidRPr="00CC253F">
        <w:rPr>
          <w:rFonts w:eastAsia="Bookman Old Style"/>
          <w:szCs w:val="24"/>
        </w:rPr>
        <w:t xml:space="preserve"> </w:t>
      </w:r>
      <w:r w:rsidRPr="00CC253F">
        <w:rPr>
          <w:rFonts w:eastAsia="Bookman Old Style"/>
          <w:i/>
          <w:iCs/>
          <w:szCs w:val="24"/>
        </w:rPr>
        <w:t>Racial and Ethnic Disparity in Pretrial Criminal Processing</w:t>
      </w:r>
      <w:r w:rsidRPr="00CC253F">
        <w:rPr>
          <w:rFonts w:eastAsia="Bookman Old Style"/>
          <w:szCs w:val="24"/>
        </w:rPr>
        <w:t xml:space="preserve">, 22 Just. Q. 170, 187 (2005) Traci Schlesinger; </w:t>
      </w:r>
      <w:r w:rsidRPr="00CC253F">
        <w:rPr>
          <w:rFonts w:eastAsia="Bookman Old Style"/>
          <w:i/>
          <w:iCs/>
          <w:szCs w:val="24"/>
        </w:rPr>
        <w:t>Racial and Ethnic Differences in Pretrial Release and Decisions and Outcomes: A Comparison of Hispanic, Black and White Felony Arrestees</w:t>
      </w:r>
      <w:r w:rsidRPr="00CC253F">
        <w:rPr>
          <w:rFonts w:eastAsia="Bookman Old Style"/>
          <w:szCs w:val="24"/>
        </w:rPr>
        <w:t>, 41 Criminology 873, 880-81 (2003) Stephen DeMuth.</w:t>
      </w:r>
    </w:p>
  </w:footnote>
  <w:footnote w:id="51">
    <w:p w14:paraId="77E1DC96" w14:textId="77777777" w:rsidR="00CF1160" w:rsidRPr="00CC253F" w:rsidRDefault="00CF1160" w:rsidP="00B56032">
      <w:pPr>
        <w:spacing w:line="240" w:lineRule="auto"/>
        <w:ind w:firstLine="0"/>
        <w:rPr>
          <w:rFonts w:eastAsia="Bookman Old Style"/>
          <w:szCs w:val="24"/>
        </w:rPr>
      </w:pPr>
      <w:r w:rsidRPr="00CC253F">
        <w:rPr>
          <w:rStyle w:val="FootnoteReference"/>
          <w:szCs w:val="24"/>
        </w:rPr>
        <w:footnoteRef/>
      </w:r>
      <w:r w:rsidRPr="00CC253F">
        <w:rPr>
          <w:rFonts w:eastAsia="Bookman Old Style"/>
          <w:szCs w:val="24"/>
        </w:rPr>
        <w:t xml:space="preserve"> </w:t>
      </w:r>
      <w:r w:rsidRPr="00CC253F">
        <w:rPr>
          <w:rFonts w:eastAsia="Bookman Old Style"/>
          <w:i/>
          <w:iCs/>
          <w:szCs w:val="24"/>
        </w:rPr>
        <w:t>Race, Sex, and Pretrial Detention in Federal Court; Indirect Effects and Cumulative Disadvantage</w:t>
      </w:r>
      <w:r w:rsidRPr="00CC253F">
        <w:rPr>
          <w:rFonts w:eastAsia="Bookman Old Style"/>
          <w:szCs w:val="24"/>
        </w:rPr>
        <w:t xml:space="preserve">, 57 U. Kan. L. Rev. 879 (2009) Cassia Spohn; </w:t>
      </w:r>
      <w:r w:rsidRPr="00CC253F">
        <w:rPr>
          <w:rFonts w:eastAsia="Bookman Old Style"/>
          <w:i/>
          <w:iCs/>
          <w:szCs w:val="24"/>
        </w:rPr>
        <w:t>Criminal Justice Decision Making as a Stratification Process: The Role of Race and Stratification Resources in Pretrial Release</w:t>
      </w:r>
      <w:r w:rsidRPr="00CC253F">
        <w:rPr>
          <w:rFonts w:eastAsia="Bookman Old Style"/>
          <w:szCs w:val="24"/>
        </w:rPr>
        <w:t>, 5 J. Quantitative Criminology 57 (1989), Celesta A. Albonetti et al.</w:t>
      </w:r>
    </w:p>
  </w:footnote>
  <w:footnote w:id="52">
    <w:p w14:paraId="2ED85AA2" w14:textId="77777777" w:rsidR="00CF1160" w:rsidRPr="00CC253F" w:rsidRDefault="00CF1160" w:rsidP="00B56032">
      <w:pPr>
        <w:spacing w:line="240" w:lineRule="auto"/>
        <w:ind w:firstLine="0"/>
        <w:rPr>
          <w:rFonts w:eastAsia="Bookman Old Style"/>
          <w:szCs w:val="24"/>
        </w:rPr>
      </w:pPr>
      <w:r w:rsidRPr="00CC253F">
        <w:rPr>
          <w:rStyle w:val="FootnoteReference"/>
          <w:szCs w:val="24"/>
        </w:rPr>
        <w:footnoteRef/>
      </w:r>
      <w:r w:rsidRPr="00CC253F">
        <w:rPr>
          <w:rFonts w:eastAsia="Bookman Old Style"/>
          <w:szCs w:val="24"/>
        </w:rPr>
        <w:t xml:space="preserve"> </w:t>
      </w:r>
      <w:r w:rsidRPr="00CC253F">
        <w:rPr>
          <w:rFonts w:eastAsia="Bookman Old Style"/>
          <w:i/>
          <w:iCs/>
          <w:szCs w:val="24"/>
        </w:rPr>
        <w:t>Reducing Racial Disparities in Juvenile Detention</w:t>
      </w:r>
      <w:r w:rsidRPr="00CC253F">
        <w:rPr>
          <w:rFonts w:eastAsia="Bookman Old Style"/>
          <w:szCs w:val="24"/>
        </w:rPr>
        <w:t xml:space="preserve"> (2001) Eleanor Hinton Hoytt.</w:t>
      </w:r>
    </w:p>
  </w:footnote>
  <w:footnote w:id="53">
    <w:p w14:paraId="3D19C14F" w14:textId="77777777" w:rsidR="00CF1160" w:rsidRPr="006F5709" w:rsidRDefault="00CF1160" w:rsidP="00B56032">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0A4BAD">
        <w:rPr>
          <w:rFonts w:eastAsia="Bookman Old Style"/>
          <w:i/>
          <w:iCs/>
          <w:szCs w:val="24"/>
        </w:rPr>
        <w:t>Race and Presentencing Decisions: The Cost of Being African American, Racial Issues in Criminal Justice: The Case of African Americans</w:t>
      </w:r>
      <w:r w:rsidRPr="006F5709">
        <w:rPr>
          <w:rFonts w:eastAsia="Bookman Old Style"/>
          <w:szCs w:val="24"/>
        </w:rPr>
        <w:t xml:space="preserve"> 137, 140-41, (2003) Marvin D. Free (meta-analysis of bail studies in 2003 between 1979 and 2000, including 18 studies all showing African Americans receiving higher bail than white, including studies controlling for all varying factors.</w:t>
      </w:r>
    </w:p>
  </w:footnote>
  <w:footnote w:id="54">
    <w:p w14:paraId="2019BFFA" w14:textId="77777777" w:rsidR="00CF1160" w:rsidRPr="006F5709" w:rsidRDefault="00CF1160" w:rsidP="00B56032">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w:t>
      </w:r>
      <w:r w:rsidRPr="000A4BAD">
        <w:rPr>
          <w:rFonts w:eastAsia="Bookman Old Style"/>
          <w:i/>
          <w:iCs/>
          <w:szCs w:val="24"/>
        </w:rPr>
        <w:t>Pretrial Release of Latino Defendants Final Report</w:t>
      </w:r>
      <w:r w:rsidRPr="006F5709">
        <w:rPr>
          <w:rFonts w:eastAsia="Bookman Old Style"/>
          <w:szCs w:val="24"/>
        </w:rPr>
        <w:t xml:space="preserve"> (2008) Pretrial Justice Institute; David Levin.</w:t>
      </w:r>
    </w:p>
  </w:footnote>
  <w:footnote w:id="55">
    <w:p w14:paraId="16E6B037" w14:textId="77787574" w:rsidR="00CF1160" w:rsidRPr="006F5709" w:rsidRDefault="00CF1160" w:rsidP="00B56032">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Demuth Study, </w:t>
      </w:r>
      <w:r w:rsidRPr="006F5709">
        <w:rPr>
          <w:rFonts w:eastAsia="Bookman Old Style"/>
          <w:i/>
          <w:szCs w:val="24"/>
        </w:rPr>
        <w:t>supra</w:t>
      </w:r>
      <w:r w:rsidRPr="006F5709">
        <w:rPr>
          <w:rFonts w:eastAsia="Bookman Old Style"/>
          <w:szCs w:val="24"/>
        </w:rPr>
        <w:t xml:space="preserve">, at p. 897; See also San Francisco Controller’s Report, </w:t>
      </w:r>
      <w:r w:rsidRPr="000A4BAD">
        <w:rPr>
          <w:rFonts w:eastAsia="Bookman Old Style"/>
          <w:szCs w:val="24"/>
        </w:rPr>
        <w:t>County Jail Needs Assessment</w:t>
      </w:r>
      <w:r w:rsidRPr="006F5709">
        <w:rPr>
          <w:rFonts w:eastAsia="Bookman Old Style"/>
          <w:szCs w:val="24"/>
        </w:rPr>
        <w:t>, August 15, 2013, at p. 11-12; See also Women’s Community Justice Reform Blueprint A Gender-Responsive, Family-Focused Approach to Integrating Criminal and Community Justice, April 2013, Adult Probation Department and Sheriff’s Department, City and County of San Francisco; See also Summary of Key Findings – San Francisco Justice Reinvestment Initiative:  Racial &amp; Ethnic Disparities Analysis for Reentry Council by W. Haywood Burns Institute (June 23, 2015) (</w:t>
      </w:r>
      <w:hyperlink r:id="rId6" w:history="1">
        <w:r w:rsidRPr="00972F2B">
          <w:rPr>
            <w:rStyle w:val="Hyperlink"/>
            <w:rFonts w:eastAsia="Bookman Old Style"/>
            <w:szCs w:val="24"/>
          </w:rPr>
          <w:t>https://www.burnsinstitute.org/publications/san-francisco-justice-reinvestment-initiative-racial-and-ethnic-disparities-analysis-for-the-re-entry-council</w:t>
        </w:r>
      </w:hyperlink>
      <w:r>
        <w:rPr>
          <w:rFonts w:eastAsia="Bookman Old Style"/>
          <w:szCs w:val="24"/>
        </w:rPr>
        <w:t>.</w:t>
      </w:r>
    </w:p>
  </w:footnote>
  <w:footnote w:id="56">
    <w:p w14:paraId="2B02F204" w14:textId="77777777" w:rsidR="00CF1160" w:rsidRPr="006F5709" w:rsidRDefault="00CF1160" w:rsidP="00B56032">
      <w:pPr>
        <w:spacing w:line="240" w:lineRule="auto"/>
        <w:ind w:firstLine="0"/>
        <w:rPr>
          <w:rFonts w:eastAsia="Bookman Old Style"/>
          <w:szCs w:val="24"/>
        </w:rPr>
      </w:pPr>
      <w:r w:rsidRPr="006F5709">
        <w:rPr>
          <w:rStyle w:val="FootnoteReference"/>
          <w:szCs w:val="24"/>
        </w:rPr>
        <w:footnoteRef/>
      </w:r>
      <w:r w:rsidRPr="006F5709">
        <w:rPr>
          <w:rFonts w:eastAsia="Bookman Old Style"/>
          <w:szCs w:val="24"/>
        </w:rPr>
        <w:t xml:space="preserve"> See: </w:t>
      </w:r>
      <w:r w:rsidRPr="000A4BAD">
        <w:rPr>
          <w:rFonts w:eastAsia="Bookman Old Style"/>
          <w:i/>
          <w:iCs/>
          <w:szCs w:val="24"/>
        </w:rPr>
        <w:t>Report on Race &amp; Incarceration In San Francisco: Two Years Later</w:t>
      </w:r>
      <w:r w:rsidRPr="006F5709">
        <w:rPr>
          <w:rFonts w:eastAsia="Bookman Old Style"/>
          <w:szCs w:val="24"/>
        </w:rPr>
        <w:t xml:space="preserve">, by Chet Hewitt, Andrea D. Shorter, and Michael Godfrey, Center on Juvenile and Criminal Justice, October 1994 (African-American were 11 % of SF’s general adult population, but made up 48% of the county’s inmates; Latinos comprised 15% of the general adult population, but accounted for 29% of the jail population); see also </w:t>
      </w:r>
      <w:r w:rsidRPr="000A4BAD">
        <w:rPr>
          <w:rFonts w:eastAsia="Bookman Old Style"/>
          <w:i/>
          <w:iCs/>
          <w:szCs w:val="24"/>
        </w:rPr>
        <w:t>Race &amp; Incarceration in San Francisco: Localizing Apartheid</w:t>
      </w:r>
      <w:r w:rsidRPr="006F5709">
        <w:rPr>
          <w:rFonts w:eastAsia="Bookman Old Style"/>
          <w:szCs w:val="24"/>
        </w:rPr>
        <w:t>, October 1992, Center on Juvenile and Criminal Justice, by Chet Hewitt, Ken Kubota, and Vincent Schiraldi (earlier, similar data).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0F9AB" w14:textId="77777777" w:rsidR="00CF1160" w:rsidRDefault="00CF1160" w:rsidP="00FE5823">
    <w:pPr>
      <w:spacing w:line="480" w:lineRule="exact"/>
    </w:pPr>
    <w:r>
      <w:rPr>
        <w:noProof/>
      </w:rPr>
      <mc:AlternateContent>
        <mc:Choice Requires="wps">
          <w:drawing>
            <wp:anchor distT="0" distB="0" distL="114300" distR="114300" simplePos="0" relativeHeight="251658242" behindDoc="0" locked="0" layoutInCell="1" allowOverlap="1" wp14:anchorId="5B7226CA" wp14:editId="4546E7FA">
              <wp:simplePos x="0" y="0"/>
              <wp:positionH relativeFrom="margin">
                <wp:posOffset>-640080</wp:posOffset>
              </wp:positionH>
              <wp:positionV relativeFrom="margin">
                <wp:posOffset>6985</wp:posOffset>
              </wp:positionV>
              <wp:extent cx="457200" cy="8229600"/>
              <wp:effectExtent l="0" t="0" r="1905" b="2540"/>
              <wp:wrapNone/>
              <wp:docPr id="6"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22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9F5C92" w14:textId="77777777" w:rsidR="00CF1160" w:rsidRDefault="00CF1160" w:rsidP="00406159">
                          <w:pPr>
                            <w:spacing w:line="480" w:lineRule="exact"/>
                            <w:ind w:firstLine="0"/>
                            <w:jc w:val="right"/>
                          </w:pPr>
                          <w:r>
                            <w:t>1</w:t>
                          </w:r>
                        </w:p>
                        <w:p w14:paraId="15AF47B3" w14:textId="77777777" w:rsidR="00CF1160" w:rsidRDefault="00CF1160" w:rsidP="00406159">
                          <w:pPr>
                            <w:spacing w:line="480" w:lineRule="exact"/>
                            <w:ind w:firstLine="0"/>
                            <w:jc w:val="right"/>
                          </w:pPr>
                          <w:r>
                            <w:t>2</w:t>
                          </w:r>
                        </w:p>
                        <w:p w14:paraId="005E5ED8" w14:textId="77777777" w:rsidR="00CF1160" w:rsidRDefault="00CF1160" w:rsidP="00406159">
                          <w:pPr>
                            <w:spacing w:line="480" w:lineRule="exact"/>
                            <w:ind w:firstLine="0"/>
                            <w:jc w:val="right"/>
                          </w:pPr>
                          <w:r>
                            <w:t>3</w:t>
                          </w:r>
                        </w:p>
                        <w:p w14:paraId="3F693C84" w14:textId="77777777" w:rsidR="00CF1160" w:rsidRDefault="00CF1160" w:rsidP="00406159">
                          <w:pPr>
                            <w:spacing w:line="480" w:lineRule="exact"/>
                            <w:ind w:firstLine="0"/>
                            <w:jc w:val="right"/>
                          </w:pPr>
                          <w:r>
                            <w:t>4</w:t>
                          </w:r>
                        </w:p>
                        <w:p w14:paraId="434368B3" w14:textId="77777777" w:rsidR="00CF1160" w:rsidRDefault="00CF1160" w:rsidP="00406159">
                          <w:pPr>
                            <w:spacing w:line="480" w:lineRule="exact"/>
                            <w:ind w:firstLine="0"/>
                            <w:jc w:val="right"/>
                          </w:pPr>
                          <w:r>
                            <w:t>5</w:t>
                          </w:r>
                        </w:p>
                        <w:p w14:paraId="0C146D9A" w14:textId="77777777" w:rsidR="00CF1160" w:rsidRDefault="00CF1160" w:rsidP="00406159">
                          <w:pPr>
                            <w:spacing w:line="480" w:lineRule="exact"/>
                            <w:ind w:firstLine="0"/>
                            <w:jc w:val="right"/>
                          </w:pPr>
                          <w:r>
                            <w:t>6</w:t>
                          </w:r>
                        </w:p>
                        <w:p w14:paraId="06BD66DE" w14:textId="77777777" w:rsidR="00CF1160" w:rsidRDefault="00CF1160" w:rsidP="00406159">
                          <w:pPr>
                            <w:spacing w:line="480" w:lineRule="exact"/>
                            <w:ind w:firstLine="0"/>
                            <w:jc w:val="right"/>
                          </w:pPr>
                          <w:r>
                            <w:t>7</w:t>
                          </w:r>
                        </w:p>
                        <w:p w14:paraId="2B2015C9" w14:textId="77777777" w:rsidR="00CF1160" w:rsidRDefault="00CF1160" w:rsidP="00406159">
                          <w:pPr>
                            <w:spacing w:line="480" w:lineRule="exact"/>
                            <w:ind w:firstLine="0"/>
                            <w:jc w:val="right"/>
                          </w:pPr>
                          <w:r>
                            <w:t>8</w:t>
                          </w:r>
                        </w:p>
                        <w:p w14:paraId="08F09045" w14:textId="77777777" w:rsidR="00CF1160" w:rsidRDefault="00CF1160" w:rsidP="00406159">
                          <w:pPr>
                            <w:spacing w:line="480" w:lineRule="exact"/>
                            <w:ind w:firstLine="0"/>
                            <w:jc w:val="right"/>
                          </w:pPr>
                          <w:r>
                            <w:t>9</w:t>
                          </w:r>
                        </w:p>
                        <w:p w14:paraId="0FDB6F27" w14:textId="77777777" w:rsidR="00CF1160" w:rsidRDefault="00CF1160" w:rsidP="00406159">
                          <w:pPr>
                            <w:spacing w:line="480" w:lineRule="exact"/>
                            <w:ind w:firstLine="0"/>
                            <w:jc w:val="right"/>
                          </w:pPr>
                          <w:r>
                            <w:t>10</w:t>
                          </w:r>
                        </w:p>
                        <w:p w14:paraId="7043D49A" w14:textId="77777777" w:rsidR="00CF1160" w:rsidRDefault="00CF1160" w:rsidP="00406159">
                          <w:pPr>
                            <w:spacing w:line="480" w:lineRule="exact"/>
                            <w:ind w:firstLine="0"/>
                            <w:jc w:val="right"/>
                          </w:pPr>
                          <w:r>
                            <w:t>11</w:t>
                          </w:r>
                        </w:p>
                        <w:p w14:paraId="754002F1" w14:textId="77777777" w:rsidR="00CF1160" w:rsidRDefault="00CF1160" w:rsidP="00406159">
                          <w:pPr>
                            <w:spacing w:line="480" w:lineRule="exact"/>
                            <w:ind w:firstLine="0"/>
                            <w:jc w:val="right"/>
                          </w:pPr>
                          <w:r>
                            <w:t>12</w:t>
                          </w:r>
                        </w:p>
                        <w:p w14:paraId="33BDC014" w14:textId="77777777" w:rsidR="00CF1160" w:rsidRDefault="00CF1160" w:rsidP="00406159">
                          <w:pPr>
                            <w:spacing w:line="480" w:lineRule="exact"/>
                            <w:ind w:firstLine="0"/>
                            <w:jc w:val="right"/>
                          </w:pPr>
                          <w:r>
                            <w:t>13</w:t>
                          </w:r>
                        </w:p>
                        <w:p w14:paraId="117E81BB" w14:textId="77777777" w:rsidR="00CF1160" w:rsidRDefault="00CF1160" w:rsidP="00406159">
                          <w:pPr>
                            <w:spacing w:line="480" w:lineRule="exact"/>
                            <w:ind w:firstLine="0"/>
                            <w:jc w:val="right"/>
                          </w:pPr>
                          <w:r>
                            <w:t>14</w:t>
                          </w:r>
                        </w:p>
                        <w:p w14:paraId="3D439AD5" w14:textId="77777777" w:rsidR="00CF1160" w:rsidRDefault="00CF1160" w:rsidP="00406159">
                          <w:pPr>
                            <w:spacing w:line="480" w:lineRule="exact"/>
                            <w:ind w:firstLine="0"/>
                            <w:jc w:val="right"/>
                          </w:pPr>
                          <w:r>
                            <w:t>15</w:t>
                          </w:r>
                        </w:p>
                        <w:p w14:paraId="6597A42F" w14:textId="77777777" w:rsidR="00CF1160" w:rsidRDefault="00CF1160" w:rsidP="00406159">
                          <w:pPr>
                            <w:spacing w:line="480" w:lineRule="exact"/>
                            <w:ind w:firstLine="0"/>
                            <w:jc w:val="right"/>
                          </w:pPr>
                          <w:r>
                            <w:t>16</w:t>
                          </w:r>
                        </w:p>
                        <w:p w14:paraId="058291DE" w14:textId="77777777" w:rsidR="00CF1160" w:rsidRDefault="00CF1160" w:rsidP="00406159">
                          <w:pPr>
                            <w:spacing w:line="480" w:lineRule="exact"/>
                            <w:ind w:firstLine="0"/>
                            <w:jc w:val="right"/>
                          </w:pPr>
                          <w:r>
                            <w:t>17</w:t>
                          </w:r>
                        </w:p>
                        <w:p w14:paraId="7D22AF9C" w14:textId="77777777" w:rsidR="00CF1160" w:rsidRDefault="00CF1160" w:rsidP="00406159">
                          <w:pPr>
                            <w:spacing w:line="480" w:lineRule="exact"/>
                            <w:ind w:firstLine="0"/>
                            <w:jc w:val="right"/>
                          </w:pPr>
                          <w:r>
                            <w:t>18</w:t>
                          </w:r>
                        </w:p>
                        <w:p w14:paraId="36B7FC31" w14:textId="77777777" w:rsidR="00CF1160" w:rsidRDefault="00CF1160" w:rsidP="00406159">
                          <w:pPr>
                            <w:spacing w:line="480" w:lineRule="exact"/>
                            <w:ind w:firstLine="0"/>
                            <w:jc w:val="right"/>
                          </w:pPr>
                          <w:r>
                            <w:t>19</w:t>
                          </w:r>
                        </w:p>
                        <w:p w14:paraId="4B52BBD7" w14:textId="77777777" w:rsidR="00CF1160" w:rsidRDefault="00CF1160" w:rsidP="00406159">
                          <w:pPr>
                            <w:spacing w:line="480" w:lineRule="exact"/>
                            <w:ind w:firstLine="0"/>
                            <w:jc w:val="right"/>
                          </w:pPr>
                          <w:r>
                            <w:t>20</w:t>
                          </w:r>
                        </w:p>
                        <w:p w14:paraId="3FFD115B" w14:textId="77777777" w:rsidR="00CF1160" w:rsidRDefault="00CF1160" w:rsidP="00406159">
                          <w:pPr>
                            <w:spacing w:line="480" w:lineRule="exact"/>
                            <w:ind w:firstLine="0"/>
                            <w:jc w:val="right"/>
                          </w:pPr>
                          <w:r>
                            <w:t>21</w:t>
                          </w:r>
                        </w:p>
                        <w:p w14:paraId="6A8F9943" w14:textId="77777777" w:rsidR="00CF1160" w:rsidRDefault="00CF1160" w:rsidP="00406159">
                          <w:pPr>
                            <w:spacing w:line="480" w:lineRule="exact"/>
                            <w:ind w:firstLine="0"/>
                            <w:jc w:val="right"/>
                          </w:pPr>
                          <w:r>
                            <w:t>22</w:t>
                          </w:r>
                        </w:p>
                        <w:p w14:paraId="21F78AF0" w14:textId="77777777" w:rsidR="00CF1160" w:rsidRDefault="00CF1160" w:rsidP="00406159">
                          <w:pPr>
                            <w:spacing w:line="480" w:lineRule="exact"/>
                            <w:ind w:firstLine="0"/>
                            <w:jc w:val="right"/>
                          </w:pPr>
                          <w:r>
                            <w:t>23</w:t>
                          </w:r>
                        </w:p>
                        <w:p w14:paraId="3099ECBC" w14:textId="77777777" w:rsidR="00CF1160" w:rsidRDefault="00CF1160" w:rsidP="00406159">
                          <w:pPr>
                            <w:spacing w:line="480" w:lineRule="exact"/>
                            <w:ind w:firstLine="0"/>
                            <w:jc w:val="right"/>
                          </w:pPr>
                          <w:r>
                            <w:t>24</w:t>
                          </w:r>
                        </w:p>
                        <w:p w14:paraId="1C1BB015" w14:textId="77777777" w:rsidR="00CF1160" w:rsidRDefault="00CF1160" w:rsidP="00406159">
                          <w:pPr>
                            <w:spacing w:line="480" w:lineRule="exact"/>
                            <w:ind w:firstLine="0"/>
                            <w:jc w:val="right"/>
                          </w:pPr>
                          <w:r>
                            <w:t>25</w:t>
                          </w:r>
                        </w:p>
                        <w:p w14:paraId="6D3EC98D" w14:textId="77777777" w:rsidR="00CF1160" w:rsidRDefault="00CF1160" w:rsidP="00406159">
                          <w:pPr>
                            <w:spacing w:line="480" w:lineRule="exact"/>
                            <w:ind w:firstLine="0"/>
                            <w:jc w:val="right"/>
                          </w:pPr>
                          <w:r>
                            <w:t>26</w:t>
                          </w:r>
                        </w:p>
                        <w:p w14:paraId="1CC721B5" w14:textId="77777777" w:rsidR="00CF1160" w:rsidRDefault="00CF1160" w:rsidP="00406159">
                          <w:pPr>
                            <w:spacing w:line="480" w:lineRule="exact"/>
                            <w:ind w:firstLine="0"/>
                            <w:jc w:val="right"/>
                          </w:pPr>
                          <w:r>
                            <w:t>27</w:t>
                          </w:r>
                        </w:p>
                        <w:p w14:paraId="1E64DD6B" w14:textId="77777777" w:rsidR="00CF1160" w:rsidRDefault="00CF1160" w:rsidP="00406159">
                          <w:pPr>
                            <w:spacing w:line="480" w:lineRule="exact"/>
                            <w:ind w:firstLine="0"/>
                            <w:jc w:val="right"/>
                          </w:pPr>
                          <w:r>
                            <w:t>28</w:t>
                          </w:r>
                        </w:p>
                        <w:p w14:paraId="1E8F2259" w14:textId="77777777" w:rsidR="00CF1160" w:rsidRDefault="00CF1160" w:rsidP="00406159">
                          <w:pPr>
                            <w:spacing w:line="480" w:lineRule="exact"/>
                            <w:jc w:val="right"/>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5B7226CA" id="_x0000_t202" coordsize="21600,21600" o:spt="202" path="m,l,21600r21600,l21600,xe">
              <v:stroke joinstyle="miter"/>
              <v:path gradientshapeok="t" o:connecttype="rect"/>
            </v:shapetype>
            <v:shape id="LineNumbers" o:spid="_x0000_s1026" type="#_x0000_t202" style="position:absolute;left:0;text-align:left;margin-left:-50.4pt;margin-top:.55pt;width:36pt;height:9in;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" stroked="f">
              <v:textbox inset="0,0,0,0">
                <w:txbxContent>
                  <w:p w14:paraId="6D9F5C92" w14:textId="77777777" w:rsidR="00CF1160" w:rsidRDefault="00CF1160" w:rsidP="00406159">
                    <w:pPr>
                      <w:spacing w:line="480" w:lineRule="exact"/>
                      <w:ind w:firstLine="0"/>
                      <w:jc w:val="right"/>
                    </w:pPr>
                    <w:r>
                      <w:t>1</w:t>
                    </w:r>
                  </w:p>
                  <w:p w14:paraId="15AF47B3" w14:textId="77777777" w:rsidR="00CF1160" w:rsidRDefault="00CF1160" w:rsidP="00406159">
                    <w:pPr>
                      <w:spacing w:line="480" w:lineRule="exact"/>
                      <w:ind w:firstLine="0"/>
                      <w:jc w:val="right"/>
                    </w:pPr>
                    <w:r>
                      <w:t>2</w:t>
                    </w:r>
                  </w:p>
                  <w:p w14:paraId="005E5ED8" w14:textId="77777777" w:rsidR="00CF1160" w:rsidRDefault="00CF1160" w:rsidP="00406159">
                    <w:pPr>
                      <w:spacing w:line="480" w:lineRule="exact"/>
                      <w:ind w:firstLine="0"/>
                      <w:jc w:val="right"/>
                    </w:pPr>
                    <w:r>
                      <w:t>3</w:t>
                    </w:r>
                  </w:p>
                  <w:p w14:paraId="3F693C84" w14:textId="77777777" w:rsidR="00CF1160" w:rsidRDefault="00CF1160" w:rsidP="00406159">
                    <w:pPr>
                      <w:spacing w:line="480" w:lineRule="exact"/>
                      <w:ind w:firstLine="0"/>
                      <w:jc w:val="right"/>
                    </w:pPr>
                    <w:r>
                      <w:t>4</w:t>
                    </w:r>
                  </w:p>
                  <w:p w14:paraId="434368B3" w14:textId="77777777" w:rsidR="00CF1160" w:rsidRDefault="00CF1160" w:rsidP="00406159">
                    <w:pPr>
                      <w:spacing w:line="480" w:lineRule="exact"/>
                      <w:ind w:firstLine="0"/>
                      <w:jc w:val="right"/>
                    </w:pPr>
                    <w:r>
                      <w:t>5</w:t>
                    </w:r>
                  </w:p>
                  <w:p w14:paraId="0C146D9A" w14:textId="77777777" w:rsidR="00CF1160" w:rsidRDefault="00CF1160" w:rsidP="00406159">
                    <w:pPr>
                      <w:spacing w:line="480" w:lineRule="exact"/>
                      <w:ind w:firstLine="0"/>
                      <w:jc w:val="right"/>
                    </w:pPr>
                    <w:r>
                      <w:t>6</w:t>
                    </w:r>
                  </w:p>
                  <w:p w14:paraId="06BD66DE" w14:textId="77777777" w:rsidR="00CF1160" w:rsidRDefault="00CF1160" w:rsidP="00406159">
                    <w:pPr>
                      <w:spacing w:line="480" w:lineRule="exact"/>
                      <w:ind w:firstLine="0"/>
                      <w:jc w:val="right"/>
                    </w:pPr>
                    <w:r>
                      <w:t>7</w:t>
                    </w:r>
                  </w:p>
                  <w:p w14:paraId="2B2015C9" w14:textId="77777777" w:rsidR="00CF1160" w:rsidRDefault="00CF1160" w:rsidP="00406159">
                    <w:pPr>
                      <w:spacing w:line="480" w:lineRule="exact"/>
                      <w:ind w:firstLine="0"/>
                      <w:jc w:val="right"/>
                    </w:pPr>
                    <w:r>
                      <w:t>8</w:t>
                    </w:r>
                  </w:p>
                  <w:p w14:paraId="08F09045" w14:textId="77777777" w:rsidR="00CF1160" w:rsidRDefault="00CF1160" w:rsidP="00406159">
                    <w:pPr>
                      <w:spacing w:line="480" w:lineRule="exact"/>
                      <w:ind w:firstLine="0"/>
                      <w:jc w:val="right"/>
                    </w:pPr>
                    <w:r>
                      <w:t>9</w:t>
                    </w:r>
                  </w:p>
                  <w:p w14:paraId="0FDB6F27" w14:textId="77777777" w:rsidR="00CF1160" w:rsidRDefault="00CF1160" w:rsidP="00406159">
                    <w:pPr>
                      <w:spacing w:line="480" w:lineRule="exact"/>
                      <w:ind w:firstLine="0"/>
                      <w:jc w:val="right"/>
                    </w:pPr>
                    <w:r>
                      <w:t>10</w:t>
                    </w:r>
                  </w:p>
                  <w:p w14:paraId="7043D49A" w14:textId="77777777" w:rsidR="00CF1160" w:rsidRDefault="00CF1160" w:rsidP="00406159">
                    <w:pPr>
                      <w:spacing w:line="480" w:lineRule="exact"/>
                      <w:ind w:firstLine="0"/>
                      <w:jc w:val="right"/>
                    </w:pPr>
                    <w:r>
                      <w:t>11</w:t>
                    </w:r>
                  </w:p>
                  <w:p w14:paraId="754002F1" w14:textId="77777777" w:rsidR="00CF1160" w:rsidRDefault="00CF1160" w:rsidP="00406159">
                    <w:pPr>
                      <w:spacing w:line="480" w:lineRule="exact"/>
                      <w:ind w:firstLine="0"/>
                      <w:jc w:val="right"/>
                    </w:pPr>
                    <w:r>
                      <w:t>12</w:t>
                    </w:r>
                  </w:p>
                  <w:p w14:paraId="33BDC014" w14:textId="77777777" w:rsidR="00CF1160" w:rsidRDefault="00CF1160" w:rsidP="00406159">
                    <w:pPr>
                      <w:spacing w:line="480" w:lineRule="exact"/>
                      <w:ind w:firstLine="0"/>
                      <w:jc w:val="right"/>
                    </w:pPr>
                    <w:r>
                      <w:t>13</w:t>
                    </w:r>
                  </w:p>
                  <w:p w14:paraId="117E81BB" w14:textId="77777777" w:rsidR="00CF1160" w:rsidRDefault="00CF1160" w:rsidP="00406159">
                    <w:pPr>
                      <w:spacing w:line="480" w:lineRule="exact"/>
                      <w:ind w:firstLine="0"/>
                      <w:jc w:val="right"/>
                    </w:pPr>
                    <w:r>
                      <w:t>14</w:t>
                    </w:r>
                  </w:p>
                  <w:p w14:paraId="3D439AD5" w14:textId="77777777" w:rsidR="00CF1160" w:rsidRDefault="00CF1160" w:rsidP="00406159">
                    <w:pPr>
                      <w:spacing w:line="480" w:lineRule="exact"/>
                      <w:ind w:firstLine="0"/>
                      <w:jc w:val="right"/>
                    </w:pPr>
                    <w:r>
                      <w:t>15</w:t>
                    </w:r>
                  </w:p>
                  <w:p w14:paraId="6597A42F" w14:textId="77777777" w:rsidR="00CF1160" w:rsidRDefault="00CF1160" w:rsidP="00406159">
                    <w:pPr>
                      <w:spacing w:line="480" w:lineRule="exact"/>
                      <w:ind w:firstLine="0"/>
                      <w:jc w:val="right"/>
                    </w:pPr>
                    <w:r>
                      <w:t>16</w:t>
                    </w:r>
                  </w:p>
                  <w:p w14:paraId="058291DE" w14:textId="77777777" w:rsidR="00CF1160" w:rsidRDefault="00CF1160" w:rsidP="00406159">
                    <w:pPr>
                      <w:spacing w:line="480" w:lineRule="exact"/>
                      <w:ind w:firstLine="0"/>
                      <w:jc w:val="right"/>
                    </w:pPr>
                    <w:r>
                      <w:t>17</w:t>
                    </w:r>
                  </w:p>
                  <w:p w14:paraId="7D22AF9C" w14:textId="77777777" w:rsidR="00CF1160" w:rsidRDefault="00CF1160" w:rsidP="00406159">
                    <w:pPr>
                      <w:spacing w:line="480" w:lineRule="exact"/>
                      <w:ind w:firstLine="0"/>
                      <w:jc w:val="right"/>
                    </w:pPr>
                    <w:r>
                      <w:t>18</w:t>
                    </w:r>
                  </w:p>
                  <w:p w14:paraId="36B7FC31" w14:textId="77777777" w:rsidR="00CF1160" w:rsidRDefault="00CF1160" w:rsidP="00406159">
                    <w:pPr>
                      <w:spacing w:line="480" w:lineRule="exact"/>
                      <w:ind w:firstLine="0"/>
                      <w:jc w:val="right"/>
                    </w:pPr>
                    <w:r>
                      <w:t>19</w:t>
                    </w:r>
                  </w:p>
                  <w:p w14:paraId="4B52BBD7" w14:textId="77777777" w:rsidR="00CF1160" w:rsidRDefault="00CF1160" w:rsidP="00406159">
                    <w:pPr>
                      <w:spacing w:line="480" w:lineRule="exact"/>
                      <w:ind w:firstLine="0"/>
                      <w:jc w:val="right"/>
                    </w:pPr>
                    <w:r>
                      <w:t>20</w:t>
                    </w:r>
                  </w:p>
                  <w:p w14:paraId="3FFD115B" w14:textId="77777777" w:rsidR="00CF1160" w:rsidRDefault="00CF1160" w:rsidP="00406159">
                    <w:pPr>
                      <w:spacing w:line="480" w:lineRule="exact"/>
                      <w:ind w:firstLine="0"/>
                      <w:jc w:val="right"/>
                    </w:pPr>
                    <w:r>
                      <w:t>21</w:t>
                    </w:r>
                  </w:p>
                  <w:p w14:paraId="6A8F9943" w14:textId="77777777" w:rsidR="00CF1160" w:rsidRDefault="00CF1160" w:rsidP="00406159">
                    <w:pPr>
                      <w:spacing w:line="480" w:lineRule="exact"/>
                      <w:ind w:firstLine="0"/>
                      <w:jc w:val="right"/>
                    </w:pPr>
                    <w:r>
                      <w:t>22</w:t>
                    </w:r>
                  </w:p>
                  <w:p w14:paraId="21F78AF0" w14:textId="77777777" w:rsidR="00CF1160" w:rsidRDefault="00CF1160" w:rsidP="00406159">
                    <w:pPr>
                      <w:spacing w:line="480" w:lineRule="exact"/>
                      <w:ind w:firstLine="0"/>
                      <w:jc w:val="right"/>
                    </w:pPr>
                    <w:r>
                      <w:t>23</w:t>
                    </w:r>
                  </w:p>
                  <w:p w14:paraId="3099ECBC" w14:textId="77777777" w:rsidR="00CF1160" w:rsidRDefault="00CF1160" w:rsidP="00406159">
                    <w:pPr>
                      <w:spacing w:line="480" w:lineRule="exact"/>
                      <w:ind w:firstLine="0"/>
                      <w:jc w:val="right"/>
                    </w:pPr>
                    <w:r>
                      <w:t>24</w:t>
                    </w:r>
                  </w:p>
                  <w:p w14:paraId="1C1BB015" w14:textId="77777777" w:rsidR="00CF1160" w:rsidRDefault="00CF1160" w:rsidP="00406159">
                    <w:pPr>
                      <w:spacing w:line="480" w:lineRule="exact"/>
                      <w:ind w:firstLine="0"/>
                      <w:jc w:val="right"/>
                    </w:pPr>
                    <w:r>
                      <w:t>25</w:t>
                    </w:r>
                  </w:p>
                  <w:p w14:paraId="6D3EC98D" w14:textId="77777777" w:rsidR="00CF1160" w:rsidRDefault="00CF1160" w:rsidP="00406159">
                    <w:pPr>
                      <w:spacing w:line="480" w:lineRule="exact"/>
                      <w:ind w:firstLine="0"/>
                      <w:jc w:val="right"/>
                    </w:pPr>
                    <w:r>
                      <w:t>26</w:t>
                    </w:r>
                  </w:p>
                  <w:p w14:paraId="1CC721B5" w14:textId="77777777" w:rsidR="00CF1160" w:rsidRDefault="00CF1160" w:rsidP="00406159">
                    <w:pPr>
                      <w:spacing w:line="480" w:lineRule="exact"/>
                      <w:ind w:firstLine="0"/>
                      <w:jc w:val="right"/>
                    </w:pPr>
                    <w:r>
                      <w:t>27</w:t>
                    </w:r>
                  </w:p>
                  <w:p w14:paraId="1E64DD6B" w14:textId="77777777" w:rsidR="00CF1160" w:rsidRDefault="00CF1160" w:rsidP="00406159">
                    <w:pPr>
                      <w:spacing w:line="480" w:lineRule="exact"/>
                      <w:ind w:firstLine="0"/>
                      <w:jc w:val="right"/>
                    </w:pPr>
                    <w:r>
                      <w:t>28</w:t>
                    </w:r>
                  </w:p>
                  <w:p w14:paraId="1E8F2259" w14:textId="77777777" w:rsidR="00CF1160" w:rsidRDefault="00CF1160" w:rsidP="00406159">
                    <w:pPr>
                      <w:spacing w:line="480" w:lineRule="exact"/>
                      <w:jc w:val="right"/>
                    </w:pPr>
                  </w:p>
                </w:txbxContent>
              </v:textbox>
              <w10:wrap anchorx="margin" anchory="margin"/>
            </v:shape>
          </w:pict>
        </mc:Fallback>
      </mc:AlternateContent>
    </w:r>
    <w:r>
      <w:rPr>
        <w:noProof/>
      </w:rPr>
      <mc:AlternateContent>
        <mc:Choice Requires="wps">
          <w:drawing>
            <wp:anchor distT="0" distB="0" distL="114300" distR="114300" simplePos="0" relativeHeight="251658241" behindDoc="0" locked="0" layoutInCell="1" allowOverlap="1" wp14:anchorId="4C3E3E6E" wp14:editId="0AEDEF49">
              <wp:simplePos x="0" y="0"/>
              <wp:positionH relativeFrom="margin">
                <wp:posOffset>-91440</wp:posOffset>
              </wp:positionH>
              <wp:positionV relativeFrom="page">
                <wp:posOffset>0</wp:posOffset>
              </wp:positionV>
              <wp:extent cx="0" cy="10058400"/>
              <wp:effectExtent l="13335" t="9525" r="5715" b="9525"/>
              <wp:wrapNone/>
              <wp:docPr id="5"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99F1456" id="LeftBorder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">
              <w10:wrap anchorx="margin" anchory="page"/>
            </v:line>
          </w:pict>
        </mc:Fallback>
      </mc:AlternateContent>
    </w:r>
    <w:r>
      <w:rPr>
        <w:noProof/>
      </w:rPr>
      <mc:AlternateContent>
        <mc:Choice Requires="wps">
          <w:drawing>
            <wp:anchor distT="0" distB="0" distL="114300" distR="114300" simplePos="0" relativeHeight="251658240" behindDoc="0" locked="0" layoutInCell="1" allowOverlap="1" wp14:anchorId="65017785" wp14:editId="04530568">
              <wp:simplePos x="0" y="0"/>
              <wp:positionH relativeFrom="margin">
                <wp:posOffset>-45720</wp:posOffset>
              </wp:positionH>
              <wp:positionV relativeFrom="page">
                <wp:posOffset>0</wp:posOffset>
              </wp:positionV>
              <wp:extent cx="0" cy="10058400"/>
              <wp:effectExtent l="11430" t="9525" r="7620" b="9525"/>
              <wp:wrapNone/>
              <wp:docPr id="4"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4591BE36" id="LeftBorder1" o:spid="_x0000_s1026" style="position:absolute;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6pt,0" to="-3.6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">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0D164" w14:textId="77777777" w:rsidR="00CF1160" w:rsidRDefault="00CF1160">
    <w:r>
      <w:rPr>
        <w:noProof/>
      </w:rPr>
      <mc:AlternateContent>
        <mc:Choice Requires="wps">
          <w:drawing>
            <wp:anchor distT="0" distB="0" distL="114300" distR="114300" simplePos="0" relativeHeight="251658245" behindDoc="0" locked="0" layoutInCell="1" allowOverlap="1" wp14:anchorId="298880E6" wp14:editId="74C5B96A">
              <wp:simplePos x="0" y="0"/>
              <wp:positionH relativeFrom="margin">
                <wp:posOffset>-640080</wp:posOffset>
              </wp:positionH>
              <wp:positionV relativeFrom="margin">
                <wp:posOffset>-10795</wp:posOffset>
              </wp:positionV>
              <wp:extent cx="457200" cy="8229600"/>
              <wp:effectExtent l="0" t="0" r="1905" b="127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22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691D29" w14:textId="77777777" w:rsidR="00CF1160" w:rsidRDefault="00CF1160" w:rsidP="00EF05E7">
                          <w:pPr>
                            <w:ind w:firstLine="0"/>
                            <w:jc w:val="right"/>
                          </w:pPr>
                          <w:r>
                            <w:t>1</w:t>
                          </w:r>
                        </w:p>
                        <w:p w14:paraId="55909059" w14:textId="77777777" w:rsidR="00CF1160" w:rsidRDefault="00CF1160" w:rsidP="00EA3615">
                          <w:pPr>
                            <w:spacing w:line="480" w:lineRule="exact"/>
                            <w:ind w:firstLine="0"/>
                            <w:jc w:val="right"/>
                          </w:pPr>
                          <w:r>
                            <w:t>2</w:t>
                          </w:r>
                        </w:p>
                        <w:p w14:paraId="25FE9A19" w14:textId="77777777" w:rsidR="00CF1160" w:rsidRDefault="00CF1160" w:rsidP="00EA3615">
                          <w:pPr>
                            <w:spacing w:line="480" w:lineRule="exact"/>
                            <w:ind w:firstLine="0"/>
                            <w:jc w:val="right"/>
                          </w:pPr>
                          <w:r>
                            <w:t>3</w:t>
                          </w:r>
                        </w:p>
                        <w:p w14:paraId="336A7CE9" w14:textId="77777777" w:rsidR="00CF1160" w:rsidRDefault="00CF1160" w:rsidP="00EF05E7">
                          <w:pPr>
                            <w:ind w:firstLine="0"/>
                            <w:jc w:val="right"/>
                          </w:pPr>
                          <w:r>
                            <w:t>4</w:t>
                          </w:r>
                        </w:p>
                        <w:p w14:paraId="1746C998" w14:textId="77777777" w:rsidR="00CF1160" w:rsidRDefault="00CF1160" w:rsidP="00EF05E7">
                          <w:pPr>
                            <w:ind w:firstLine="0"/>
                            <w:jc w:val="right"/>
                          </w:pPr>
                          <w:r>
                            <w:t>5</w:t>
                          </w:r>
                        </w:p>
                        <w:p w14:paraId="11B0829F" w14:textId="77777777" w:rsidR="00CF1160" w:rsidRDefault="00CF1160" w:rsidP="00EF05E7">
                          <w:pPr>
                            <w:ind w:firstLine="0"/>
                            <w:jc w:val="right"/>
                          </w:pPr>
                          <w:r>
                            <w:t>6</w:t>
                          </w:r>
                        </w:p>
                        <w:p w14:paraId="3B8FBC4B" w14:textId="77777777" w:rsidR="00CF1160" w:rsidRDefault="00CF1160" w:rsidP="00EF05E7">
                          <w:pPr>
                            <w:ind w:firstLine="0"/>
                            <w:jc w:val="right"/>
                          </w:pPr>
                          <w:r>
                            <w:t>7</w:t>
                          </w:r>
                        </w:p>
                        <w:p w14:paraId="14375B5F" w14:textId="77777777" w:rsidR="00CF1160" w:rsidRDefault="00CF1160" w:rsidP="00EF05E7">
                          <w:pPr>
                            <w:ind w:firstLine="0"/>
                            <w:jc w:val="right"/>
                          </w:pPr>
                          <w:r>
                            <w:t>8</w:t>
                          </w:r>
                        </w:p>
                        <w:p w14:paraId="2AB901FC" w14:textId="77777777" w:rsidR="00CF1160" w:rsidRDefault="00CF1160" w:rsidP="00EF05E7">
                          <w:pPr>
                            <w:ind w:firstLine="0"/>
                            <w:jc w:val="right"/>
                          </w:pPr>
                          <w:r>
                            <w:t>9</w:t>
                          </w:r>
                        </w:p>
                        <w:p w14:paraId="168DFC69" w14:textId="77777777" w:rsidR="00CF1160" w:rsidRDefault="00CF1160" w:rsidP="00EF05E7">
                          <w:pPr>
                            <w:ind w:firstLine="0"/>
                            <w:jc w:val="right"/>
                          </w:pPr>
                          <w:r>
                            <w:t>10</w:t>
                          </w:r>
                        </w:p>
                        <w:p w14:paraId="60191625" w14:textId="77777777" w:rsidR="00CF1160" w:rsidRDefault="00CF1160" w:rsidP="00EF05E7">
                          <w:pPr>
                            <w:ind w:firstLine="0"/>
                            <w:jc w:val="right"/>
                          </w:pPr>
                          <w:r>
                            <w:t>11</w:t>
                          </w:r>
                        </w:p>
                        <w:p w14:paraId="3D7366A7" w14:textId="77777777" w:rsidR="00CF1160" w:rsidRDefault="00CF1160" w:rsidP="00EF05E7">
                          <w:pPr>
                            <w:ind w:firstLine="0"/>
                            <w:jc w:val="right"/>
                          </w:pPr>
                          <w:r>
                            <w:t>12</w:t>
                          </w:r>
                        </w:p>
                        <w:p w14:paraId="0F35ED03" w14:textId="77777777" w:rsidR="00CF1160" w:rsidRDefault="00CF1160" w:rsidP="00EF05E7">
                          <w:pPr>
                            <w:ind w:firstLine="0"/>
                            <w:jc w:val="right"/>
                          </w:pPr>
                          <w:r>
                            <w:t>13</w:t>
                          </w:r>
                        </w:p>
                        <w:p w14:paraId="22D2457D" w14:textId="77777777" w:rsidR="00CF1160" w:rsidRDefault="00CF1160" w:rsidP="00EF05E7">
                          <w:pPr>
                            <w:ind w:firstLine="0"/>
                            <w:jc w:val="right"/>
                          </w:pPr>
                          <w:r>
                            <w:t>14</w:t>
                          </w:r>
                        </w:p>
                        <w:p w14:paraId="77C08521" w14:textId="77777777" w:rsidR="00CF1160" w:rsidRDefault="00CF1160" w:rsidP="00EF05E7">
                          <w:pPr>
                            <w:ind w:firstLine="0"/>
                            <w:jc w:val="right"/>
                          </w:pPr>
                          <w:r>
                            <w:t>15</w:t>
                          </w:r>
                        </w:p>
                        <w:p w14:paraId="2FC03016" w14:textId="77777777" w:rsidR="00CF1160" w:rsidRDefault="00CF1160" w:rsidP="00EF05E7">
                          <w:pPr>
                            <w:ind w:firstLine="0"/>
                            <w:jc w:val="right"/>
                          </w:pPr>
                          <w:r>
                            <w:t>16</w:t>
                          </w:r>
                        </w:p>
                        <w:p w14:paraId="7B018173" w14:textId="77777777" w:rsidR="00CF1160" w:rsidRDefault="00CF1160" w:rsidP="00EF05E7">
                          <w:pPr>
                            <w:ind w:firstLine="0"/>
                            <w:jc w:val="right"/>
                          </w:pPr>
                          <w:r>
                            <w:t>17</w:t>
                          </w:r>
                        </w:p>
                        <w:p w14:paraId="03D0013B" w14:textId="77777777" w:rsidR="00CF1160" w:rsidRDefault="00CF1160" w:rsidP="00EF05E7">
                          <w:pPr>
                            <w:ind w:firstLine="0"/>
                            <w:jc w:val="right"/>
                          </w:pPr>
                          <w:r>
                            <w:t>18</w:t>
                          </w:r>
                        </w:p>
                        <w:p w14:paraId="5DCBF000" w14:textId="77777777" w:rsidR="00CF1160" w:rsidRDefault="00CF1160" w:rsidP="00EF05E7">
                          <w:pPr>
                            <w:ind w:firstLine="0"/>
                            <w:jc w:val="right"/>
                          </w:pPr>
                          <w:r>
                            <w:t>19</w:t>
                          </w:r>
                        </w:p>
                        <w:p w14:paraId="73C31959" w14:textId="77777777" w:rsidR="00CF1160" w:rsidRDefault="00CF1160" w:rsidP="00EF05E7">
                          <w:pPr>
                            <w:ind w:firstLine="0"/>
                            <w:jc w:val="right"/>
                          </w:pPr>
                          <w:r>
                            <w:t>20</w:t>
                          </w:r>
                        </w:p>
                        <w:p w14:paraId="1EB05402" w14:textId="77777777" w:rsidR="00CF1160" w:rsidRDefault="00CF1160" w:rsidP="00EF05E7">
                          <w:pPr>
                            <w:ind w:firstLine="0"/>
                            <w:jc w:val="right"/>
                          </w:pPr>
                          <w:r>
                            <w:t>21</w:t>
                          </w:r>
                        </w:p>
                        <w:p w14:paraId="6D93A11F" w14:textId="77777777" w:rsidR="00CF1160" w:rsidRDefault="00CF1160" w:rsidP="00EF05E7">
                          <w:pPr>
                            <w:ind w:firstLine="0"/>
                            <w:jc w:val="right"/>
                          </w:pPr>
                          <w:r>
                            <w:t>22</w:t>
                          </w:r>
                        </w:p>
                        <w:p w14:paraId="53991EA4" w14:textId="77777777" w:rsidR="00CF1160" w:rsidRDefault="00CF1160" w:rsidP="00EF05E7">
                          <w:pPr>
                            <w:ind w:firstLine="0"/>
                            <w:jc w:val="right"/>
                          </w:pPr>
                          <w:r>
                            <w:t>23</w:t>
                          </w:r>
                        </w:p>
                        <w:p w14:paraId="34396780" w14:textId="77777777" w:rsidR="00CF1160" w:rsidRDefault="00CF1160" w:rsidP="00EF05E7">
                          <w:pPr>
                            <w:ind w:firstLine="0"/>
                            <w:jc w:val="right"/>
                          </w:pPr>
                          <w:r>
                            <w:t>24</w:t>
                          </w:r>
                        </w:p>
                        <w:p w14:paraId="19445EE3" w14:textId="77777777" w:rsidR="00CF1160" w:rsidRDefault="00CF1160" w:rsidP="00EF05E7">
                          <w:pPr>
                            <w:ind w:firstLine="0"/>
                            <w:jc w:val="right"/>
                          </w:pPr>
                          <w:r>
                            <w:t>25</w:t>
                          </w:r>
                        </w:p>
                        <w:p w14:paraId="6EF8E595" w14:textId="77777777" w:rsidR="00CF1160" w:rsidRDefault="00CF1160" w:rsidP="00EF05E7">
                          <w:pPr>
                            <w:ind w:firstLine="0"/>
                            <w:jc w:val="right"/>
                          </w:pPr>
                          <w:r>
                            <w:t>26</w:t>
                          </w:r>
                        </w:p>
                        <w:p w14:paraId="5D8C6B08" w14:textId="77777777" w:rsidR="00CF1160" w:rsidRDefault="00CF1160" w:rsidP="00EF05E7">
                          <w:pPr>
                            <w:ind w:firstLine="0"/>
                            <w:jc w:val="right"/>
                          </w:pPr>
                          <w:r>
                            <w:t>27</w:t>
                          </w:r>
                        </w:p>
                        <w:p w14:paraId="6EF2ECF1" w14:textId="77777777" w:rsidR="00CF1160" w:rsidRDefault="00CF1160" w:rsidP="00EF05E7">
                          <w:pPr>
                            <w:ind w:firstLine="0"/>
                            <w:jc w:val="right"/>
                          </w:pPr>
                          <w:r>
                            <w:t>28</w:t>
                          </w:r>
                        </w:p>
                        <w:p w14:paraId="7878CDFC" w14:textId="77777777" w:rsidR="00CF1160" w:rsidRDefault="00CF1160" w:rsidP="00EF05E7">
                          <w:pPr>
                            <w:jc w:val="right"/>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298880E6" id="_x0000_t202" coordsize="21600,21600" o:spt="202" path="m,l,21600r21600,l21600,xe">
              <v:stroke joinstyle="miter"/>
              <v:path gradientshapeok="t" o:connecttype="rect"/>
            </v:shapetype>
            <v:shape id="Text Box 11" o:spid="_x0000_s1027" type="#_x0000_t202" style="position:absolute;left:0;text-align:left;margin-left:-50.4pt;margin-top:-.85pt;width:36pt;height:9in;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" stroked="f">
              <v:textbox inset="0,0,0,0">
                <w:txbxContent>
                  <w:p w14:paraId="42691D29" w14:textId="77777777" w:rsidR="00CF1160" w:rsidRDefault="00CF1160" w:rsidP="00EF05E7">
                    <w:pPr>
                      <w:ind w:firstLine="0"/>
                      <w:jc w:val="right"/>
                    </w:pPr>
                    <w:r>
                      <w:t>1</w:t>
                    </w:r>
                  </w:p>
                  <w:p w14:paraId="55909059" w14:textId="77777777" w:rsidR="00CF1160" w:rsidRDefault="00CF1160" w:rsidP="00EA3615">
                    <w:pPr>
                      <w:spacing w:line="480" w:lineRule="exact"/>
                      <w:ind w:firstLine="0"/>
                      <w:jc w:val="right"/>
                    </w:pPr>
                    <w:r>
                      <w:t>2</w:t>
                    </w:r>
                  </w:p>
                  <w:p w14:paraId="25FE9A19" w14:textId="77777777" w:rsidR="00CF1160" w:rsidRDefault="00CF1160" w:rsidP="00EA3615">
                    <w:pPr>
                      <w:spacing w:line="480" w:lineRule="exact"/>
                      <w:ind w:firstLine="0"/>
                      <w:jc w:val="right"/>
                    </w:pPr>
                    <w:r>
                      <w:t>3</w:t>
                    </w:r>
                  </w:p>
                  <w:p w14:paraId="336A7CE9" w14:textId="77777777" w:rsidR="00CF1160" w:rsidRDefault="00CF1160" w:rsidP="00EF05E7">
                    <w:pPr>
                      <w:ind w:firstLine="0"/>
                      <w:jc w:val="right"/>
                    </w:pPr>
                    <w:r>
                      <w:t>4</w:t>
                    </w:r>
                  </w:p>
                  <w:p w14:paraId="1746C998" w14:textId="77777777" w:rsidR="00CF1160" w:rsidRDefault="00CF1160" w:rsidP="00EF05E7">
                    <w:pPr>
                      <w:ind w:firstLine="0"/>
                      <w:jc w:val="right"/>
                    </w:pPr>
                    <w:r>
                      <w:t>5</w:t>
                    </w:r>
                  </w:p>
                  <w:p w14:paraId="11B0829F" w14:textId="77777777" w:rsidR="00CF1160" w:rsidRDefault="00CF1160" w:rsidP="00EF05E7">
                    <w:pPr>
                      <w:ind w:firstLine="0"/>
                      <w:jc w:val="right"/>
                    </w:pPr>
                    <w:r>
                      <w:t>6</w:t>
                    </w:r>
                  </w:p>
                  <w:p w14:paraId="3B8FBC4B" w14:textId="77777777" w:rsidR="00CF1160" w:rsidRDefault="00CF1160" w:rsidP="00EF05E7">
                    <w:pPr>
                      <w:ind w:firstLine="0"/>
                      <w:jc w:val="right"/>
                    </w:pPr>
                    <w:r>
                      <w:t>7</w:t>
                    </w:r>
                  </w:p>
                  <w:p w14:paraId="14375B5F" w14:textId="77777777" w:rsidR="00CF1160" w:rsidRDefault="00CF1160" w:rsidP="00EF05E7">
                    <w:pPr>
                      <w:ind w:firstLine="0"/>
                      <w:jc w:val="right"/>
                    </w:pPr>
                    <w:r>
                      <w:t>8</w:t>
                    </w:r>
                  </w:p>
                  <w:p w14:paraId="2AB901FC" w14:textId="77777777" w:rsidR="00CF1160" w:rsidRDefault="00CF1160" w:rsidP="00EF05E7">
                    <w:pPr>
                      <w:ind w:firstLine="0"/>
                      <w:jc w:val="right"/>
                    </w:pPr>
                    <w:r>
                      <w:t>9</w:t>
                    </w:r>
                  </w:p>
                  <w:p w14:paraId="168DFC69" w14:textId="77777777" w:rsidR="00CF1160" w:rsidRDefault="00CF1160" w:rsidP="00EF05E7">
                    <w:pPr>
                      <w:ind w:firstLine="0"/>
                      <w:jc w:val="right"/>
                    </w:pPr>
                    <w:r>
                      <w:t>10</w:t>
                    </w:r>
                  </w:p>
                  <w:p w14:paraId="60191625" w14:textId="77777777" w:rsidR="00CF1160" w:rsidRDefault="00CF1160" w:rsidP="00EF05E7">
                    <w:pPr>
                      <w:ind w:firstLine="0"/>
                      <w:jc w:val="right"/>
                    </w:pPr>
                    <w:r>
                      <w:t>11</w:t>
                    </w:r>
                  </w:p>
                  <w:p w14:paraId="3D7366A7" w14:textId="77777777" w:rsidR="00CF1160" w:rsidRDefault="00CF1160" w:rsidP="00EF05E7">
                    <w:pPr>
                      <w:ind w:firstLine="0"/>
                      <w:jc w:val="right"/>
                    </w:pPr>
                    <w:r>
                      <w:t>12</w:t>
                    </w:r>
                  </w:p>
                  <w:p w14:paraId="0F35ED03" w14:textId="77777777" w:rsidR="00CF1160" w:rsidRDefault="00CF1160" w:rsidP="00EF05E7">
                    <w:pPr>
                      <w:ind w:firstLine="0"/>
                      <w:jc w:val="right"/>
                    </w:pPr>
                    <w:r>
                      <w:t>13</w:t>
                    </w:r>
                  </w:p>
                  <w:p w14:paraId="22D2457D" w14:textId="77777777" w:rsidR="00CF1160" w:rsidRDefault="00CF1160" w:rsidP="00EF05E7">
                    <w:pPr>
                      <w:ind w:firstLine="0"/>
                      <w:jc w:val="right"/>
                    </w:pPr>
                    <w:r>
                      <w:t>14</w:t>
                    </w:r>
                  </w:p>
                  <w:p w14:paraId="77C08521" w14:textId="77777777" w:rsidR="00CF1160" w:rsidRDefault="00CF1160" w:rsidP="00EF05E7">
                    <w:pPr>
                      <w:ind w:firstLine="0"/>
                      <w:jc w:val="right"/>
                    </w:pPr>
                    <w:r>
                      <w:t>15</w:t>
                    </w:r>
                  </w:p>
                  <w:p w14:paraId="2FC03016" w14:textId="77777777" w:rsidR="00CF1160" w:rsidRDefault="00CF1160" w:rsidP="00EF05E7">
                    <w:pPr>
                      <w:ind w:firstLine="0"/>
                      <w:jc w:val="right"/>
                    </w:pPr>
                    <w:r>
                      <w:t>16</w:t>
                    </w:r>
                  </w:p>
                  <w:p w14:paraId="7B018173" w14:textId="77777777" w:rsidR="00CF1160" w:rsidRDefault="00CF1160" w:rsidP="00EF05E7">
                    <w:pPr>
                      <w:ind w:firstLine="0"/>
                      <w:jc w:val="right"/>
                    </w:pPr>
                    <w:r>
                      <w:t>17</w:t>
                    </w:r>
                  </w:p>
                  <w:p w14:paraId="03D0013B" w14:textId="77777777" w:rsidR="00CF1160" w:rsidRDefault="00CF1160" w:rsidP="00EF05E7">
                    <w:pPr>
                      <w:ind w:firstLine="0"/>
                      <w:jc w:val="right"/>
                    </w:pPr>
                    <w:r>
                      <w:t>18</w:t>
                    </w:r>
                  </w:p>
                  <w:p w14:paraId="5DCBF000" w14:textId="77777777" w:rsidR="00CF1160" w:rsidRDefault="00CF1160" w:rsidP="00EF05E7">
                    <w:pPr>
                      <w:ind w:firstLine="0"/>
                      <w:jc w:val="right"/>
                    </w:pPr>
                    <w:r>
                      <w:t>19</w:t>
                    </w:r>
                  </w:p>
                  <w:p w14:paraId="73C31959" w14:textId="77777777" w:rsidR="00CF1160" w:rsidRDefault="00CF1160" w:rsidP="00EF05E7">
                    <w:pPr>
                      <w:ind w:firstLine="0"/>
                      <w:jc w:val="right"/>
                    </w:pPr>
                    <w:r>
                      <w:t>20</w:t>
                    </w:r>
                  </w:p>
                  <w:p w14:paraId="1EB05402" w14:textId="77777777" w:rsidR="00CF1160" w:rsidRDefault="00CF1160" w:rsidP="00EF05E7">
                    <w:pPr>
                      <w:ind w:firstLine="0"/>
                      <w:jc w:val="right"/>
                    </w:pPr>
                    <w:r>
                      <w:t>21</w:t>
                    </w:r>
                  </w:p>
                  <w:p w14:paraId="6D93A11F" w14:textId="77777777" w:rsidR="00CF1160" w:rsidRDefault="00CF1160" w:rsidP="00EF05E7">
                    <w:pPr>
                      <w:ind w:firstLine="0"/>
                      <w:jc w:val="right"/>
                    </w:pPr>
                    <w:r>
                      <w:t>22</w:t>
                    </w:r>
                  </w:p>
                  <w:p w14:paraId="53991EA4" w14:textId="77777777" w:rsidR="00CF1160" w:rsidRDefault="00CF1160" w:rsidP="00EF05E7">
                    <w:pPr>
                      <w:ind w:firstLine="0"/>
                      <w:jc w:val="right"/>
                    </w:pPr>
                    <w:r>
                      <w:t>23</w:t>
                    </w:r>
                  </w:p>
                  <w:p w14:paraId="34396780" w14:textId="77777777" w:rsidR="00CF1160" w:rsidRDefault="00CF1160" w:rsidP="00EF05E7">
                    <w:pPr>
                      <w:ind w:firstLine="0"/>
                      <w:jc w:val="right"/>
                    </w:pPr>
                    <w:r>
                      <w:t>24</w:t>
                    </w:r>
                  </w:p>
                  <w:p w14:paraId="19445EE3" w14:textId="77777777" w:rsidR="00CF1160" w:rsidRDefault="00CF1160" w:rsidP="00EF05E7">
                    <w:pPr>
                      <w:ind w:firstLine="0"/>
                      <w:jc w:val="right"/>
                    </w:pPr>
                    <w:r>
                      <w:t>25</w:t>
                    </w:r>
                  </w:p>
                  <w:p w14:paraId="6EF8E595" w14:textId="77777777" w:rsidR="00CF1160" w:rsidRDefault="00CF1160" w:rsidP="00EF05E7">
                    <w:pPr>
                      <w:ind w:firstLine="0"/>
                      <w:jc w:val="right"/>
                    </w:pPr>
                    <w:r>
                      <w:t>26</w:t>
                    </w:r>
                  </w:p>
                  <w:p w14:paraId="5D8C6B08" w14:textId="77777777" w:rsidR="00CF1160" w:rsidRDefault="00CF1160" w:rsidP="00EF05E7">
                    <w:pPr>
                      <w:ind w:firstLine="0"/>
                      <w:jc w:val="right"/>
                    </w:pPr>
                    <w:r>
                      <w:t>27</w:t>
                    </w:r>
                  </w:p>
                  <w:p w14:paraId="6EF2ECF1" w14:textId="77777777" w:rsidR="00CF1160" w:rsidRDefault="00CF1160" w:rsidP="00EF05E7">
                    <w:pPr>
                      <w:ind w:firstLine="0"/>
                      <w:jc w:val="right"/>
                    </w:pPr>
                    <w:r>
                      <w:t>28</w:t>
                    </w:r>
                  </w:p>
                  <w:p w14:paraId="7878CDFC" w14:textId="77777777" w:rsidR="00CF1160" w:rsidRDefault="00CF1160" w:rsidP="00EF05E7">
                    <w:pPr>
                      <w:jc w:val="right"/>
                    </w:pPr>
                  </w:p>
                </w:txbxContent>
              </v:textbox>
              <w10:wrap anchorx="margin" anchory="margin"/>
            </v:shape>
          </w:pict>
        </mc:Fallback>
      </mc:AlternateContent>
    </w:r>
    <w:r>
      <w:rPr>
        <w:noProof/>
      </w:rPr>
      <mc:AlternateContent>
        <mc:Choice Requires="wps">
          <w:drawing>
            <wp:anchor distT="0" distB="0" distL="114300" distR="114300" simplePos="0" relativeHeight="251658244" behindDoc="0" locked="0" layoutInCell="1" allowOverlap="1" wp14:anchorId="60670ABF" wp14:editId="6C14294F">
              <wp:simplePos x="0" y="0"/>
              <wp:positionH relativeFrom="margin">
                <wp:posOffset>-91440</wp:posOffset>
              </wp:positionH>
              <wp:positionV relativeFrom="page">
                <wp:posOffset>0</wp:posOffset>
              </wp:positionV>
              <wp:extent cx="0" cy="10058400"/>
              <wp:effectExtent l="13335" t="9525" r="5715" b="952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30DD53BB" id="Line 10" o:spid="_x0000_s1026" style="position:absolute;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">
              <w10:wrap anchorx="margin" anchory="page"/>
            </v:line>
          </w:pict>
        </mc:Fallback>
      </mc:AlternateContent>
    </w:r>
    <w:r>
      <w:rPr>
        <w:noProof/>
      </w:rPr>
      <mc:AlternateContent>
        <mc:Choice Requires="wps">
          <w:drawing>
            <wp:anchor distT="0" distB="0" distL="114300" distR="114300" simplePos="0" relativeHeight="251658243" behindDoc="0" locked="0" layoutInCell="1" allowOverlap="1" wp14:anchorId="5C81B96D" wp14:editId="77B38301">
              <wp:simplePos x="0" y="0"/>
              <wp:positionH relativeFrom="margin">
                <wp:posOffset>-45720</wp:posOffset>
              </wp:positionH>
              <wp:positionV relativeFrom="page">
                <wp:posOffset>0</wp:posOffset>
              </wp:positionV>
              <wp:extent cx="0" cy="10058400"/>
              <wp:effectExtent l="11430" t="9525" r="7620" b="9525"/>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79A51DCB" id="Line 9" o:spid="_x0000_s1026" style="position:absolute;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6pt,0" to="-3.6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">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44E83" w14:textId="77777777" w:rsidR="00CF1160" w:rsidRDefault="00CF116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92DA0"/>
    <w:multiLevelType w:val="hybridMultilevel"/>
    <w:tmpl w:val="46C675BE"/>
    <w:lvl w:ilvl="0" w:tplc="12F240A2">
      <w:start w:val="1"/>
      <w:numFmt w:val="upperRoman"/>
      <w:lvlText w:val="%1."/>
      <w:lvlJc w:val="left"/>
      <w:pPr>
        <w:tabs>
          <w:tab w:val="num" w:pos="1080"/>
        </w:tabs>
        <w:ind w:left="1080" w:hanging="720"/>
      </w:pPr>
      <w:rPr>
        <w:rFonts w:hint="default"/>
      </w:rPr>
    </w:lvl>
    <w:lvl w:ilvl="1" w:tplc="5EC88946">
      <w:start w:val="1"/>
      <w:numFmt w:val="upperLetter"/>
      <w:lvlText w:val="%2."/>
      <w:lvlJc w:val="left"/>
      <w:pPr>
        <w:tabs>
          <w:tab w:val="num" w:pos="1440"/>
        </w:tabs>
        <w:ind w:left="1440" w:hanging="360"/>
      </w:pPr>
      <w:rPr>
        <w:rFonts w:ascii="Times New Roman" w:hAnsi="Times New Roman" w:hint="default"/>
        <w:b/>
        <w:i w:val="0"/>
        <w:sz w:val="24"/>
      </w:rPr>
    </w:lvl>
    <w:lvl w:ilvl="2" w:tplc="D3F4ED7E">
      <w:start w:val="1"/>
      <w:numFmt w:val="decimal"/>
      <w:lvlText w:val="%3."/>
      <w:lvlJc w:val="left"/>
      <w:pPr>
        <w:tabs>
          <w:tab w:val="num" w:pos="2340"/>
        </w:tabs>
        <w:ind w:left="2340" w:hanging="360"/>
      </w:pPr>
      <w:rPr>
        <w:rFonts w:ascii="Times New Roman" w:hAnsi="Times New Roman" w:hint="default"/>
        <w:b/>
        <w:i w:val="0"/>
        <w:sz w:val="24"/>
      </w:rPr>
    </w:lvl>
    <w:lvl w:ilvl="3" w:tplc="52B09298">
      <w:start w:val="1"/>
      <w:numFmt w:val="decimal"/>
      <w:lvlText w:val="(%4)"/>
      <w:lvlJc w:val="left"/>
      <w:pPr>
        <w:ind w:left="2880" w:hanging="360"/>
      </w:pPr>
      <w:rPr>
        <w:rFonts w:hint="default"/>
      </w:rPr>
    </w:lvl>
    <w:lvl w:ilvl="4" w:tplc="EAE05B02">
      <w:start w:val="1"/>
      <w:numFmt w:val="lowerLetter"/>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6E5458"/>
    <w:multiLevelType w:val="hybridMultilevel"/>
    <w:tmpl w:val="F0AA4FA8"/>
    <w:lvl w:ilvl="0" w:tplc="4800786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63917"/>
    <w:multiLevelType w:val="hybridMultilevel"/>
    <w:tmpl w:val="A5EE0878"/>
    <w:lvl w:ilvl="0" w:tplc="17A8DCF8">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15:restartNumberingAfterBreak="0">
    <w:nsid w:val="1B3A29F8"/>
    <w:multiLevelType w:val="hybridMultilevel"/>
    <w:tmpl w:val="8082733A"/>
    <w:lvl w:ilvl="0" w:tplc="9D76646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5F1A52"/>
    <w:multiLevelType w:val="hybridMultilevel"/>
    <w:tmpl w:val="B6C8C6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D6691F"/>
    <w:multiLevelType w:val="multilevel"/>
    <w:tmpl w:val="0409001D"/>
    <w:styleLink w:val="He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2A2C7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9DD2C76"/>
    <w:multiLevelType w:val="multilevel"/>
    <w:tmpl w:val="9072CA56"/>
    <w:lvl w:ilvl="0">
      <w:start w:val="1"/>
      <w:numFmt w:val="none"/>
      <w:pStyle w:val="Title"/>
      <w:suff w:val="nothing"/>
      <w:lvlText w:val="%1"/>
      <w:lvlJc w:val="left"/>
      <w:pPr>
        <w:ind w:left="0" w:firstLine="0"/>
      </w:pPr>
      <w:rPr>
        <w:rFonts w:hint="default"/>
      </w:rPr>
    </w:lvl>
    <w:lvl w:ilvl="1">
      <w:start w:val="1"/>
      <w:numFmt w:val="decimal"/>
      <w:pStyle w:val="Heading1"/>
      <w:lvlText w:val="%2."/>
      <w:lvlJc w:val="left"/>
      <w:pPr>
        <w:ind w:left="720" w:hanging="360"/>
      </w:pPr>
      <w:rPr>
        <w:rFonts w:hint="default"/>
      </w:rPr>
    </w:lvl>
    <w:lvl w:ilvl="2">
      <w:start w:val="1"/>
      <w:numFmt w:val="upperLetter"/>
      <w:pStyle w:val="Heading2"/>
      <w:lvlText w:val="%3."/>
      <w:lvlJc w:val="left"/>
      <w:pPr>
        <w:ind w:left="1080" w:hanging="360"/>
      </w:pPr>
      <w:rPr>
        <w:rFonts w:hint="default"/>
      </w:rPr>
    </w:lvl>
    <w:lvl w:ilvl="3">
      <w:start w:val="1"/>
      <w:numFmt w:val="decimal"/>
      <w:pStyle w:val="Heading3"/>
      <w:lvlText w:val="(%4)"/>
      <w:lvlJc w:val="left"/>
      <w:pPr>
        <w:ind w:left="1440" w:hanging="360"/>
      </w:pPr>
      <w:rPr>
        <w:rFonts w:hint="default"/>
      </w:rPr>
    </w:lvl>
    <w:lvl w:ilvl="4">
      <w:start w:val="1"/>
      <w:numFmt w:val="lowerLetter"/>
      <w:pStyle w:val="Heading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EC65A8"/>
    <w:multiLevelType w:val="hybridMultilevel"/>
    <w:tmpl w:val="A88C9358"/>
    <w:lvl w:ilvl="0" w:tplc="7C3EC4E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15:restartNumberingAfterBreak="0">
    <w:nsid w:val="33810AC4"/>
    <w:multiLevelType w:val="hybridMultilevel"/>
    <w:tmpl w:val="EFF8A7A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4282A6B"/>
    <w:multiLevelType w:val="multilevel"/>
    <w:tmpl w:val="E65AAD84"/>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53568E5"/>
    <w:multiLevelType w:val="hybridMultilevel"/>
    <w:tmpl w:val="E4A4F044"/>
    <w:lvl w:ilvl="0" w:tplc="26109528">
      <w:start w:val="2"/>
      <w:numFmt w:val="decimal"/>
      <w:lvlText w:val="%1."/>
      <w:lvlJc w:val="left"/>
      <w:pPr>
        <w:ind w:left="360" w:hanging="360"/>
      </w:pPr>
      <w:rPr>
        <w:rFonts w:hint="default"/>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1E113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2295F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56A3A60"/>
    <w:multiLevelType w:val="hybridMultilevel"/>
    <w:tmpl w:val="C2E665B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8413473"/>
    <w:multiLevelType w:val="hybridMultilevel"/>
    <w:tmpl w:val="F10AA4E4"/>
    <w:lvl w:ilvl="0" w:tplc="EC7A9F84">
      <w:start w:val="1"/>
      <w:numFmt w:val="upperLetter"/>
      <w:lvlText w:val="%1."/>
      <w:lvlJc w:val="left"/>
      <w:pPr>
        <w:ind w:left="2880" w:hanging="360"/>
      </w:pPr>
      <w:rPr>
        <w:rFonts w:hint="default"/>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 w15:restartNumberingAfterBreak="0">
    <w:nsid w:val="4C883D1B"/>
    <w:multiLevelType w:val="hybridMultilevel"/>
    <w:tmpl w:val="8A545F44"/>
    <w:lvl w:ilvl="0" w:tplc="EAC058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AE0C2F"/>
    <w:multiLevelType w:val="hybridMultilevel"/>
    <w:tmpl w:val="43407D04"/>
    <w:lvl w:ilvl="0" w:tplc="30220732">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C283672"/>
    <w:multiLevelType w:val="hybridMultilevel"/>
    <w:tmpl w:val="B5389EDA"/>
    <w:lvl w:ilvl="0" w:tplc="AA8EB4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8E55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F0266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8"/>
  </w:num>
  <w:num w:numId="3">
    <w:abstractNumId w:val="20"/>
  </w:num>
  <w:num w:numId="4">
    <w:abstractNumId w:val="19"/>
  </w:num>
  <w:num w:numId="5">
    <w:abstractNumId w:val="5"/>
  </w:num>
  <w:num w:numId="6">
    <w:abstractNumId w:val="7"/>
  </w:num>
  <w:num w:numId="7">
    <w:abstractNumId w:val="6"/>
  </w:num>
  <w:num w:numId="8">
    <w:abstractNumId w:val="15"/>
  </w:num>
  <w:num w:numId="9">
    <w:abstractNumId w:val="8"/>
  </w:num>
  <w:num w:numId="10">
    <w:abstractNumId w:val="2"/>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3"/>
  </w:num>
  <w:num w:numId="18">
    <w:abstractNumId w:val="12"/>
  </w:num>
  <w:num w:numId="19">
    <w:abstractNumId w:val="16"/>
  </w:num>
  <w:num w:numId="20">
    <w:abstractNumId w:val="3"/>
  </w:num>
  <w:num w:numId="21">
    <w:abstractNumId w:val="10"/>
  </w:num>
  <w:num w:numId="22">
    <w:abstractNumId w:val="4"/>
  </w:num>
  <w:num w:numId="23">
    <w:abstractNumId w:val="14"/>
  </w:num>
  <w:num w:numId="24">
    <w:abstractNumId w:val="11"/>
  </w:num>
  <w:num w:numId="25">
    <w:abstractNumId w:val="9"/>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rawingGridVerticalSpacing w:val="187"/>
  <w:displayHorizont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orneyName" w:val="-1"/>
    <w:docVar w:name="CaptionBoxStyle" w:val="0"/>
    <w:docVar w:name="CourtAlignment" w:val="0"/>
    <w:docVar w:name="CourtName" w:val="[Court name]"/>
    <w:docVar w:name="FirmInFtr" w:val="0"/>
    <w:docVar w:name="FirmInSigBlkStyle" w:val="0"/>
    <w:docVar w:name="FirstLineNum" w:val="1"/>
    <w:docVar w:name="FirstPleadingLine" w:val="1"/>
    <w:docVar w:name="Font" w:val="Courier New"/>
    <w:docVar w:name="FSigBlkYes" w:val="-1"/>
    <w:docVar w:name="FSignWith" w:val="By:"/>
    <w:docVar w:name="FSummaryInFtr" w:val="-1"/>
    <w:docVar w:name="IncludeDate" w:val="-1"/>
    <w:docVar w:name="IncludeLineNumbers" w:val="-1"/>
    <w:docVar w:name="JudgeName" w:val="0"/>
    <w:docVar w:name="LeftBorderStyle" w:val="2"/>
    <w:docVar w:name="LineNumIncByOne" w:val="-1"/>
    <w:docVar w:name="LineSpacing" w:val="2"/>
    <w:docVar w:name="LinesPerPage" w:val="28"/>
    <w:docVar w:name="PageNumsInFtr" w:val="-1"/>
    <w:docVar w:name="RightBorderStyle" w:val="1"/>
  </w:docVars>
  <w:rsids>
    <w:rsidRoot w:val="00444DDE"/>
    <w:rsid w:val="00002ED5"/>
    <w:rsid w:val="00017AEC"/>
    <w:rsid w:val="00023405"/>
    <w:rsid w:val="00023C86"/>
    <w:rsid w:val="0002614B"/>
    <w:rsid w:val="00031E93"/>
    <w:rsid w:val="000345FC"/>
    <w:rsid w:val="0003646D"/>
    <w:rsid w:val="00042FA1"/>
    <w:rsid w:val="00053CBB"/>
    <w:rsid w:val="00054D03"/>
    <w:rsid w:val="000630E0"/>
    <w:rsid w:val="00064A75"/>
    <w:rsid w:val="00067084"/>
    <w:rsid w:val="00067E6D"/>
    <w:rsid w:val="00073984"/>
    <w:rsid w:val="00073C0C"/>
    <w:rsid w:val="000762BB"/>
    <w:rsid w:val="00076E78"/>
    <w:rsid w:val="00077C78"/>
    <w:rsid w:val="00077F2B"/>
    <w:rsid w:val="0008320E"/>
    <w:rsid w:val="00084241"/>
    <w:rsid w:val="000904BF"/>
    <w:rsid w:val="00092FA2"/>
    <w:rsid w:val="00093E8B"/>
    <w:rsid w:val="0009532E"/>
    <w:rsid w:val="000957F4"/>
    <w:rsid w:val="00095898"/>
    <w:rsid w:val="000970FE"/>
    <w:rsid w:val="00097719"/>
    <w:rsid w:val="000A4BAD"/>
    <w:rsid w:val="000B0027"/>
    <w:rsid w:val="000B1CE2"/>
    <w:rsid w:val="000B7B47"/>
    <w:rsid w:val="000C4EF8"/>
    <w:rsid w:val="000C7778"/>
    <w:rsid w:val="000D34ED"/>
    <w:rsid w:val="000E016C"/>
    <w:rsid w:val="000F1614"/>
    <w:rsid w:val="000F30FE"/>
    <w:rsid w:val="0010183D"/>
    <w:rsid w:val="00102316"/>
    <w:rsid w:val="00103E0F"/>
    <w:rsid w:val="00106455"/>
    <w:rsid w:val="001077C9"/>
    <w:rsid w:val="0011235C"/>
    <w:rsid w:val="001229F8"/>
    <w:rsid w:val="00124D37"/>
    <w:rsid w:val="00125576"/>
    <w:rsid w:val="00131710"/>
    <w:rsid w:val="00132617"/>
    <w:rsid w:val="001363F3"/>
    <w:rsid w:val="001549C0"/>
    <w:rsid w:val="00163C56"/>
    <w:rsid w:val="00170417"/>
    <w:rsid w:val="00175FBD"/>
    <w:rsid w:val="00176521"/>
    <w:rsid w:val="001821A1"/>
    <w:rsid w:val="00183927"/>
    <w:rsid w:val="00186960"/>
    <w:rsid w:val="001A1216"/>
    <w:rsid w:val="001B3EFF"/>
    <w:rsid w:val="001B7EB8"/>
    <w:rsid w:val="001E4D81"/>
    <w:rsid w:val="001E79D5"/>
    <w:rsid w:val="001F286A"/>
    <w:rsid w:val="001F4C5E"/>
    <w:rsid w:val="001F709C"/>
    <w:rsid w:val="00200514"/>
    <w:rsid w:val="00200DC6"/>
    <w:rsid w:val="0020496B"/>
    <w:rsid w:val="00206E25"/>
    <w:rsid w:val="00213BE6"/>
    <w:rsid w:val="00215757"/>
    <w:rsid w:val="002354EF"/>
    <w:rsid w:val="00241D71"/>
    <w:rsid w:val="00244EE7"/>
    <w:rsid w:val="00250DA3"/>
    <w:rsid w:val="00251EEE"/>
    <w:rsid w:val="0025553B"/>
    <w:rsid w:val="00263791"/>
    <w:rsid w:val="00265DFC"/>
    <w:rsid w:val="0026640C"/>
    <w:rsid w:val="00275EC0"/>
    <w:rsid w:val="002837E5"/>
    <w:rsid w:val="002871EB"/>
    <w:rsid w:val="00287298"/>
    <w:rsid w:val="00293C49"/>
    <w:rsid w:val="0029507E"/>
    <w:rsid w:val="002A2EE4"/>
    <w:rsid w:val="002A3831"/>
    <w:rsid w:val="002B00C9"/>
    <w:rsid w:val="002B06DC"/>
    <w:rsid w:val="002B39CF"/>
    <w:rsid w:val="002B6755"/>
    <w:rsid w:val="002C31F3"/>
    <w:rsid w:val="002D45D3"/>
    <w:rsid w:val="002D6105"/>
    <w:rsid w:val="002E10D6"/>
    <w:rsid w:val="002E3BFC"/>
    <w:rsid w:val="002E5A9E"/>
    <w:rsid w:val="002F38A3"/>
    <w:rsid w:val="002F48BF"/>
    <w:rsid w:val="002F4F4D"/>
    <w:rsid w:val="002F5D9C"/>
    <w:rsid w:val="003117DF"/>
    <w:rsid w:val="00311A14"/>
    <w:rsid w:val="00311F18"/>
    <w:rsid w:val="00312C88"/>
    <w:rsid w:val="0032004D"/>
    <w:rsid w:val="00321048"/>
    <w:rsid w:val="00330F4D"/>
    <w:rsid w:val="00334314"/>
    <w:rsid w:val="00344ACC"/>
    <w:rsid w:val="00345389"/>
    <w:rsid w:val="00350AF1"/>
    <w:rsid w:val="00354B2B"/>
    <w:rsid w:val="003610CA"/>
    <w:rsid w:val="0036467C"/>
    <w:rsid w:val="00365F11"/>
    <w:rsid w:val="003668F7"/>
    <w:rsid w:val="00366A94"/>
    <w:rsid w:val="00380BF2"/>
    <w:rsid w:val="00380F5E"/>
    <w:rsid w:val="00382587"/>
    <w:rsid w:val="00382FC4"/>
    <w:rsid w:val="00386A00"/>
    <w:rsid w:val="00397B6D"/>
    <w:rsid w:val="003A1516"/>
    <w:rsid w:val="003B323A"/>
    <w:rsid w:val="003D1D80"/>
    <w:rsid w:val="003D3176"/>
    <w:rsid w:val="003D4924"/>
    <w:rsid w:val="003D765C"/>
    <w:rsid w:val="003E4C61"/>
    <w:rsid w:val="003E7704"/>
    <w:rsid w:val="00401CF2"/>
    <w:rsid w:val="0040534E"/>
    <w:rsid w:val="00406159"/>
    <w:rsid w:val="00406591"/>
    <w:rsid w:val="00411A4B"/>
    <w:rsid w:val="004155F1"/>
    <w:rsid w:val="00420EFE"/>
    <w:rsid w:val="004264B4"/>
    <w:rsid w:val="0043009C"/>
    <w:rsid w:val="00431875"/>
    <w:rsid w:val="00431E61"/>
    <w:rsid w:val="00434A0D"/>
    <w:rsid w:val="00434B0B"/>
    <w:rsid w:val="004437B2"/>
    <w:rsid w:val="0044444F"/>
    <w:rsid w:val="00444DDE"/>
    <w:rsid w:val="00446564"/>
    <w:rsid w:val="00446DC5"/>
    <w:rsid w:val="00457CA9"/>
    <w:rsid w:val="00466C35"/>
    <w:rsid w:val="004775B5"/>
    <w:rsid w:val="0048327B"/>
    <w:rsid w:val="004836CD"/>
    <w:rsid w:val="004A2323"/>
    <w:rsid w:val="004A650B"/>
    <w:rsid w:val="004A7668"/>
    <w:rsid w:val="004B1B82"/>
    <w:rsid w:val="004B4E14"/>
    <w:rsid w:val="004B6B35"/>
    <w:rsid w:val="004B7DB6"/>
    <w:rsid w:val="004C1BB0"/>
    <w:rsid w:val="004C2E1A"/>
    <w:rsid w:val="004C4950"/>
    <w:rsid w:val="004C4A02"/>
    <w:rsid w:val="004C7301"/>
    <w:rsid w:val="004D0D37"/>
    <w:rsid w:val="004D116C"/>
    <w:rsid w:val="004D50A4"/>
    <w:rsid w:val="004F1956"/>
    <w:rsid w:val="004F1B4D"/>
    <w:rsid w:val="004F5E43"/>
    <w:rsid w:val="00503A78"/>
    <w:rsid w:val="0050620E"/>
    <w:rsid w:val="00506798"/>
    <w:rsid w:val="005138FC"/>
    <w:rsid w:val="00515EA8"/>
    <w:rsid w:val="00516341"/>
    <w:rsid w:val="00517419"/>
    <w:rsid w:val="00520456"/>
    <w:rsid w:val="005254BC"/>
    <w:rsid w:val="00526BBF"/>
    <w:rsid w:val="0054120A"/>
    <w:rsid w:val="00541232"/>
    <w:rsid w:val="0054254B"/>
    <w:rsid w:val="00542FEC"/>
    <w:rsid w:val="00553C47"/>
    <w:rsid w:val="00555DFC"/>
    <w:rsid w:val="005605F1"/>
    <w:rsid w:val="00560DBF"/>
    <w:rsid w:val="005640F5"/>
    <w:rsid w:val="0057468D"/>
    <w:rsid w:val="005752D0"/>
    <w:rsid w:val="00576E77"/>
    <w:rsid w:val="0058100D"/>
    <w:rsid w:val="00583A1B"/>
    <w:rsid w:val="005842EF"/>
    <w:rsid w:val="00586E78"/>
    <w:rsid w:val="00593B32"/>
    <w:rsid w:val="005964D4"/>
    <w:rsid w:val="00596C2A"/>
    <w:rsid w:val="005A399B"/>
    <w:rsid w:val="005C0D91"/>
    <w:rsid w:val="005C1C0B"/>
    <w:rsid w:val="005D1F3B"/>
    <w:rsid w:val="005D6A23"/>
    <w:rsid w:val="005E1515"/>
    <w:rsid w:val="005F12CE"/>
    <w:rsid w:val="005F25DD"/>
    <w:rsid w:val="005F35B2"/>
    <w:rsid w:val="00602211"/>
    <w:rsid w:val="00603A27"/>
    <w:rsid w:val="0060451A"/>
    <w:rsid w:val="00604738"/>
    <w:rsid w:val="00615068"/>
    <w:rsid w:val="00617218"/>
    <w:rsid w:val="00623ACC"/>
    <w:rsid w:val="006262BC"/>
    <w:rsid w:val="006272E7"/>
    <w:rsid w:val="00630CBB"/>
    <w:rsid w:val="00634005"/>
    <w:rsid w:val="006343B5"/>
    <w:rsid w:val="006403B2"/>
    <w:rsid w:val="00640EB8"/>
    <w:rsid w:val="00655F26"/>
    <w:rsid w:val="00656A23"/>
    <w:rsid w:val="006633AC"/>
    <w:rsid w:val="00667434"/>
    <w:rsid w:val="00667875"/>
    <w:rsid w:val="006759CF"/>
    <w:rsid w:val="00677D32"/>
    <w:rsid w:val="00683811"/>
    <w:rsid w:val="00686162"/>
    <w:rsid w:val="00686FFC"/>
    <w:rsid w:val="00690D7D"/>
    <w:rsid w:val="00691F0E"/>
    <w:rsid w:val="006B2FE3"/>
    <w:rsid w:val="006B52D1"/>
    <w:rsid w:val="006D5D9A"/>
    <w:rsid w:val="006E0CEE"/>
    <w:rsid w:val="006F1C35"/>
    <w:rsid w:val="006F3FAE"/>
    <w:rsid w:val="006F4F63"/>
    <w:rsid w:val="006F5709"/>
    <w:rsid w:val="006F5AA5"/>
    <w:rsid w:val="00700620"/>
    <w:rsid w:val="0070554A"/>
    <w:rsid w:val="007060E3"/>
    <w:rsid w:val="007070FB"/>
    <w:rsid w:val="00712241"/>
    <w:rsid w:val="00716A7E"/>
    <w:rsid w:val="00730B1C"/>
    <w:rsid w:val="0073102D"/>
    <w:rsid w:val="00744A55"/>
    <w:rsid w:val="00746823"/>
    <w:rsid w:val="00752169"/>
    <w:rsid w:val="00754F87"/>
    <w:rsid w:val="007559CA"/>
    <w:rsid w:val="00760A62"/>
    <w:rsid w:val="007641F4"/>
    <w:rsid w:val="00770DAE"/>
    <w:rsid w:val="00791047"/>
    <w:rsid w:val="007917FD"/>
    <w:rsid w:val="00791CA8"/>
    <w:rsid w:val="007920A7"/>
    <w:rsid w:val="007A3A83"/>
    <w:rsid w:val="007A4117"/>
    <w:rsid w:val="007A4D97"/>
    <w:rsid w:val="007A5B9C"/>
    <w:rsid w:val="007A6A5B"/>
    <w:rsid w:val="007B1A19"/>
    <w:rsid w:val="007B2A07"/>
    <w:rsid w:val="007B4C6C"/>
    <w:rsid w:val="007D16F6"/>
    <w:rsid w:val="007D19C1"/>
    <w:rsid w:val="007D4D55"/>
    <w:rsid w:val="007E1C7C"/>
    <w:rsid w:val="007F077A"/>
    <w:rsid w:val="007F1AD8"/>
    <w:rsid w:val="007F4404"/>
    <w:rsid w:val="007F72E6"/>
    <w:rsid w:val="008010C1"/>
    <w:rsid w:val="008113A2"/>
    <w:rsid w:val="00811FF3"/>
    <w:rsid w:val="00824CCD"/>
    <w:rsid w:val="008306C6"/>
    <w:rsid w:val="00835BBB"/>
    <w:rsid w:val="0084702D"/>
    <w:rsid w:val="00850DFF"/>
    <w:rsid w:val="00852891"/>
    <w:rsid w:val="0085548D"/>
    <w:rsid w:val="008571A5"/>
    <w:rsid w:val="00864127"/>
    <w:rsid w:val="00875D16"/>
    <w:rsid w:val="0087668A"/>
    <w:rsid w:val="008915AE"/>
    <w:rsid w:val="00896A5D"/>
    <w:rsid w:val="008A0E76"/>
    <w:rsid w:val="008A764B"/>
    <w:rsid w:val="008C0926"/>
    <w:rsid w:val="008C56F0"/>
    <w:rsid w:val="008D1211"/>
    <w:rsid w:val="008D4190"/>
    <w:rsid w:val="008D51FA"/>
    <w:rsid w:val="008D7D1E"/>
    <w:rsid w:val="008E0EE3"/>
    <w:rsid w:val="008E3C0A"/>
    <w:rsid w:val="008E4C99"/>
    <w:rsid w:val="008F239D"/>
    <w:rsid w:val="008F72C1"/>
    <w:rsid w:val="008F7DEE"/>
    <w:rsid w:val="00901FDA"/>
    <w:rsid w:val="00911AE8"/>
    <w:rsid w:val="009158BC"/>
    <w:rsid w:val="009227F1"/>
    <w:rsid w:val="00924E43"/>
    <w:rsid w:val="0093015C"/>
    <w:rsid w:val="00930C1B"/>
    <w:rsid w:val="009332AA"/>
    <w:rsid w:val="00933D93"/>
    <w:rsid w:val="00940077"/>
    <w:rsid w:val="009421F8"/>
    <w:rsid w:val="0094409C"/>
    <w:rsid w:val="0094633D"/>
    <w:rsid w:val="00947DA8"/>
    <w:rsid w:val="009508EF"/>
    <w:rsid w:val="00961E8C"/>
    <w:rsid w:val="00966899"/>
    <w:rsid w:val="00975C41"/>
    <w:rsid w:val="00976ED2"/>
    <w:rsid w:val="009852EC"/>
    <w:rsid w:val="00985777"/>
    <w:rsid w:val="009871EA"/>
    <w:rsid w:val="00993084"/>
    <w:rsid w:val="009955CB"/>
    <w:rsid w:val="009A05AC"/>
    <w:rsid w:val="009A2365"/>
    <w:rsid w:val="009B274D"/>
    <w:rsid w:val="009C4255"/>
    <w:rsid w:val="009D0EC8"/>
    <w:rsid w:val="009D39B3"/>
    <w:rsid w:val="009D4F5E"/>
    <w:rsid w:val="009D7747"/>
    <w:rsid w:val="009E307F"/>
    <w:rsid w:val="009E470F"/>
    <w:rsid w:val="009E58CB"/>
    <w:rsid w:val="009E66CC"/>
    <w:rsid w:val="009E6AD3"/>
    <w:rsid w:val="00A000C9"/>
    <w:rsid w:val="00A0302D"/>
    <w:rsid w:val="00A03DFD"/>
    <w:rsid w:val="00A15748"/>
    <w:rsid w:val="00A16452"/>
    <w:rsid w:val="00A21529"/>
    <w:rsid w:val="00A240BB"/>
    <w:rsid w:val="00A257D9"/>
    <w:rsid w:val="00A33497"/>
    <w:rsid w:val="00A4360B"/>
    <w:rsid w:val="00A4435F"/>
    <w:rsid w:val="00A45B27"/>
    <w:rsid w:val="00A46F3B"/>
    <w:rsid w:val="00A726E5"/>
    <w:rsid w:val="00A81D9D"/>
    <w:rsid w:val="00A91A53"/>
    <w:rsid w:val="00A97984"/>
    <w:rsid w:val="00AA5E63"/>
    <w:rsid w:val="00AA73F1"/>
    <w:rsid w:val="00AA7584"/>
    <w:rsid w:val="00AB455C"/>
    <w:rsid w:val="00AB5598"/>
    <w:rsid w:val="00AB5DB4"/>
    <w:rsid w:val="00AC24C1"/>
    <w:rsid w:val="00AC55B8"/>
    <w:rsid w:val="00AD42AF"/>
    <w:rsid w:val="00AD4451"/>
    <w:rsid w:val="00AE0AFE"/>
    <w:rsid w:val="00AE0FE3"/>
    <w:rsid w:val="00AE451D"/>
    <w:rsid w:val="00AE4523"/>
    <w:rsid w:val="00AF09E1"/>
    <w:rsid w:val="00AF1DCB"/>
    <w:rsid w:val="00AF2B2F"/>
    <w:rsid w:val="00AF3F54"/>
    <w:rsid w:val="00B02885"/>
    <w:rsid w:val="00B03161"/>
    <w:rsid w:val="00B0763F"/>
    <w:rsid w:val="00B16B67"/>
    <w:rsid w:val="00B21351"/>
    <w:rsid w:val="00B22920"/>
    <w:rsid w:val="00B23F43"/>
    <w:rsid w:val="00B25A5D"/>
    <w:rsid w:val="00B26D21"/>
    <w:rsid w:val="00B315C1"/>
    <w:rsid w:val="00B32823"/>
    <w:rsid w:val="00B543A8"/>
    <w:rsid w:val="00B56032"/>
    <w:rsid w:val="00B57E63"/>
    <w:rsid w:val="00B6139A"/>
    <w:rsid w:val="00B63E6F"/>
    <w:rsid w:val="00B7634D"/>
    <w:rsid w:val="00B801AD"/>
    <w:rsid w:val="00B816E4"/>
    <w:rsid w:val="00B94517"/>
    <w:rsid w:val="00B96E88"/>
    <w:rsid w:val="00BA4722"/>
    <w:rsid w:val="00BB3686"/>
    <w:rsid w:val="00BB41A2"/>
    <w:rsid w:val="00BB7876"/>
    <w:rsid w:val="00BD3D94"/>
    <w:rsid w:val="00BE1448"/>
    <w:rsid w:val="00BE7818"/>
    <w:rsid w:val="00BF22F6"/>
    <w:rsid w:val="00BF4BD5"/>
    <w:rsid w:val="00C032B5"/>
    <w:rsid w:val="00C173DA"/>
    <w:rsid w:val="00C221E6"/>
    <w:rsid w:val="00C264A1"/>
    <w:rsid w:val="00C26546"/>
    <w:rsid w:val="00C32FCD"/>
    <w:rsid w:val="00C35B7C"/>
    <w:rsid w:val="00C35CDB"/>
    <w:rsid w:val="00C378D8"/>
    <w:rsid w:val="00C37AF4"/>
    <w:rsid w:val="00C41E19"/>
    <w:rsid w:val="00C460D8"/>
    <w:rsid w:val="00C47234"/>
    <w:rsid w:val="00C50463"/>
    <w:rsid w:val="00C526D2"/>
    <w:rsid w:val="00C52A36"/>
    <w:rsid w:val="00C556C7"/>
    <w:rsid w:val="00C60F10"/>
    <w:rsid w:val="00C61EA8"/>
    <w:rsid w:val="00C645B2"/>
    <w:rsid w:val="00C72AAB"/>
    <w:rsid w:val="00C7377B"/>
    <w:rsid w:val="00C77774"/>
    <w:rsid w:val="00C90EE7"/>
    <w:rsid w:val="00C9220F"/>
    <w:rsid w:val="00C953A3"/>
    <w:rsid w:val="00CA2895"/>
    <w:rsid w:val="00CA6FD2"/>
    <w:rsid w:val="00CB2FEE"/>
    <w:rsid w:val="00CB36BB"/>
    <w:rsid w:val="00CB4C73"/>
    <w:rsid w:val="00CC253F"/>
    <w:rsid w:val="00CC5551"/>
    <w:rsid w:val="00CC5A9A"/>
    <w:rsid w:val="00CC7009"/>
    <w:rsid w:val="00CD10F7"/>
    <w:rsid w:val="00CD133F"/>
    <w:rsid w:val="00CD4443"/>
    <w:rsid w:val="00CE608D"/>
    <w:rsid w:val="00CF1160"/>
    <w:rsid w:val="00CF4281"/>
    <w:rsid w:val="00CF49D7"/>
    <w:rsid w:val="00CF4B52"/>
    <w:rsid w:val="00D15B35"/>
    <w:rsid w:val="00D212DC"/>
    <w:rsid w:val="00D277BA"/>
    <w:rsid w:val="00D30862"/>
    <w:rsid w:val="00D34962"/>
    <w:rsid w:val="00D35997"/>
    <w:rsid w:val="00D3638A"/>
    <w:rsid w:val="00D36487"/>
    <w:rsid w:val="00D379A7"/>
    <w:rsid w:val="00D44832"/>
    <w:rsid w:val="00D45148"/>
    <w:rsid w:val="00D47A38"/>
    <w:rsid w:val="00D528B2"/>
    <w:rsid w:val="00D56F23"/>
    <w:rsid w:val="00D63F1E"/>
    <w:rsid w:val="00D64EFB"/>
    <w:rsid w:val="00D67338"/>
    <w:rsid w:val="00D849BD"/>
    <w:rsid w:val="00D871CC"/>
    <w:rsid w:val="00D9150D"/>
    <w:rsid w:val="00DA630A"/>
    <w:rsid w:val="00DA6CE9"/>
    <w:rsid w:val="00DB1FA9"/>
    <w:rsid w:val="00DB707A"/>
    <w:rsid w:val="00DC2163"/>
    <w:rsid w:val="00DD08AF"/>
    <w:rsid w:val="00DD432F"/>
    <w:rsid w:val="00DD6683"/>
    <w:rsid w:val="00DD73FC"/>
    <w:rsid w:val="00DE774D"/>
    <w:rsid w:val="00DF225D"/>
    <w:rsid w:val="00E02CC7"/>
    <w:rsid w:val="00E06AE0"/>
    <w:rsid w:val="00E06CF9"/>
    <w:rsid w:val="00E06F34"/>
    <w:rsid w:val="00E10594"/>
    <w:rsid w:val="00E1260D"/>
    <w:rsid w:val="00E214BD"/>
    <w:rsid w:val="00E242DA"/>
    <w:rsid w:val="00E32840"/>
    <w:rsid w:val="00E35A1D"/>
    <w:rsid w:val="00E42657"/>
    <w:rsid w:val="00E4335A"/>
    <w:rsid w:val="00E433E3"/>
    <w:rsid w:val="00E50CCE"/>
    <w:rsid w:val="00E54686"/>
    <w:rsid w:val="00E57535"/>
    <w:rsid w:val="00E6086B"/>
    <w:rsid w:val="00E626E1"/>
    <w:rsid w:val="00E6389E"/>
    <w:rsid w:val="00E710DE"/>
    <w:rsid w:val="00E752E8"/>
    <w:rsid w:val="00E766B9"/>
    <w:rsid w:val="00E8026F"/>
    <w:rsid w:val="00E83911"/>
    <w:rsid w:val="00E84EBE"/>
    <w:rsid w:val="00E87D4A"/>
    <w:rsid w:val="00E931A7"/>
    <w:rsid w:val="00EA3615"/>
    <w:rsid w:val="00EC043D"/>
    <w:rsid w:val="00EC6642"/>
    <w:rsid w:val="00ED7DAB"/>
    <w:rsid w:val="00ED7FD2"/>
    <w:rsid w:val="00EF05E7"/>
    <w:rsid w:val="00F043BA"/>
    <w:rsid w:val="00F05DC0"/>
    <w:rsid w:val="00F16149"/>
    <w:rsid w:val="00F201EB"/>
    <w:rsid w:val="00F26927"/>
    <w:rsid w:val="00F31ECB"/>
    <w:rsid w:val="00F35087"/>
    <w:rsid w:val="00F3522B"/>
    <w:rsid w:val="00F3575D"/>
    <w:rsid w:val="00F50DB1"/>
    <w:rsid w:val="00F66080"/>
    <w:rsid w:val="00F73C71"/>
    <w:rsid w:val="00F75063"/>
    <w:rsid w:val="00F7567E"/>
    <w:rsid w:val="00F7569A"/>
    <w:rsid w:val="00F8120F"/>
    <w:rsid w:val="00F82E79"/>
    <w:rsid w:val="00F935EA"/>
    <w:rsid w:val="00F95499"/>
    <w:rsid w:val="00FA068B"/>
    <w:rsid w:val="00FA1622"/>
    <w:rsid w:val="00FA281D"/>
    <w:rsid w:val="00FA2D92"/>
    <w:rsid w:val="00FA492C"/>
    <w:rsid w:val="00FB1EEC"/>
    <w:rsid w:val="00FB3595"/>
    <w:rsid w:val="00FB3B43"/>
    <w:rsid w:val="00FC69DE"/>
    <w:rsid w:val="00FD47A0"/>
    <w:rsid w:val="00FD587D"/>
    <w:rsid w:val="00FE0625"/>
    <w:rsid w:val="00FE0F1E"/>
    <w:rsid w:val="00FE4DFF"/>
    <w:rsid w:val="00FE5823"/>
    <w:rsid w:val="00FE5BD2"/>
    <w:rsid w:val="00FE791B"/>
    <w:rsid w:val="00FF0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D258515"/>
  <w15:docId w15:val="{D019ED49-97EF-4D88-906C-E138A26D4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CDB"/>
    <w:pPr>
      <w:spacing w:line="450" w:lineRule="exact"/>
      <w:ind w:firstLine="360"/>
    </w:pPr>
    <w:rPr>
      <w:rFonts w:ascii="Century Schoolbook" w:hAnsi="Century Schoolbook"/>
      <w:sz w:val="24"/>
    </w:rPr>
  </w:style>
  <w:style w:type="paragraph" w:styleId="Heading1">
    <w:name w:val="heading 1"/>
    <w:next w:val="Normal"/>
    <w:link w:val="Heading1Char"/>
    <w:qFormat/>
    <w:rsid w:val="002E10D6"/>
    <w:pPr>
      <w:keepNext/>
      <w:numPr>
        <w:ilvl w:val="1"/>
        <w:numId w:val="14"/>
      </w:numPr>
      <w:spacing w:line="225" w:lineRule="exact"/>
      <w:ind w:left="360"/>
      <w:outlineLvl w:val="0"/>
    </w:pPr>
    <w:rPr>
      <w:rFonts w:ascii="Bookman Old Style" w:hAnsi="Bookman Old Style"/>
      <w:b/>
      <w:sz w:val="30"/>
      <w:szCs w:val="30"/>
    </w:rPr>
  </w:style>
  <w:style w:type="paragraph" w:styleId="Heading2">
    <w:name w:val="heading 2"/>
    <w:next w:val="Normal"/>
    <w:link w:val="Heading2Char"/>
    <w:qFormat/>
    <w:rsid w:val="002E10D6"/>
    <w:pPr>
      <w:keepNext/>
      <w:numPr>
        <w:ilvl w:val="2"/>
        <w:numId w:val="14"/>
      </w:numPr>
      <w:spacing w:line="225" w:lineRule="exact"/>
      <w:ind w:left="360"/>
      <w:outlineLvl w:val="1"/>
    </w:pPr>
    <w:rPr>
      <w:rFonts w:ascii="Bookman Old Style" w:hAnsi="Bookman Old Style"/>
      <w:b/>
      <w:sz w:val="26"/>
      <w:szCs w:val="26"/>
    </w:rPr>
  </w:style>
  <w:style w:type="paragraph" w:styleId="Heading3">
    <w:name w:val="heading 3"/>
    <w:next w:val="Normal"/>
    <w:link w:val="Heading3Char"/>
    <w:qFormat/>
    <w:rsid w:val="002E10D6"/>
    <w:pPr>
      <w:keepNext/>
      <w:numPr>
        <w:ilvl w:val="3"/>
        <w:numId w:val="14"/>
      </w:numPr>
      <w:spacing w:line="225" w:lineRule="exact"/>
      <w:ind w:left="360"/>
      <w:outlineLvl w:val="2"/>
    </w:pPr>
    <w:rPr>
      <w:rFonts w:ascii="Bookman Old Style" w:hAnsi="Bookman Old Style"/>
      <w:b/>
      <w:bCs/>
      <w:i/>
      <w:sz w:val="26"/>
      <w:szCs w:val="26"/>
    </w:rPr>
  </w:style>
  <w:style w:type="paragraph" w:styleId="Heading4">
    <w:name w:val="heading 4"/>
    <w:next w:val="Normal"/>
    <w:link w:val="Heading4Char"/>
    <w:unhideWhenUsed/>
    <w:qFormat/>
    <w:rsid w:val="002E10D6"/>
    <w:pPr>
      <w:keepNext/>
      <w:keepLines/>
      <w:numPr>
        <w:ilvl w:val="4"/>
        <w:numId w:val="14"/>
      </w:numPr>
      <w:spacing w:line="225" w:lineRule="exact"/>
      <w:ind w:left="360"/>
      <w:outlineLvl w:val="3"/>
    </w:pPr>
    <w:rPr>
      <w:rFonts w:ascii="Bookman Old Style" w:hAnsi="Bookman Old Style"/>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10D6"/>
    <w:rPr>
      <w:rFonts w:ascii="Bookman Old Style" w:hAnsi="Bookman Old Style"/>
      <w:b/>
      <w:sz w:val="30"/>
      <w:szCs w:val="30"/>
    </w:rPr>
  </w:style>
  <w:style w:type="character" w:customStyle="1" w:styleId="Heading2Char">
    <w:name w:val="Heading 2 Char"/>
    <w:basedOn w:val="DefaultParagraphFont"/>
    <w:link w:val="Heading2"/>
    <w:rsid w:val="002E10D6"/>
    <w:rPr>
      <w:rFonts w:ascii="Bookman Old Style" w:hAnsi="Bookman Old Style"/>
      <w:b/>
      <w:sz w:val="26"/>
      <w:szCs w:val="26"/>
    </w:rPr>
  </w:style>
  <w:style w:type="character" w:customStyle="1" w:styleId="Heading3Char">
    <w:name w:val="Heading 3 Char"/>
    <w:basedOn w:val="DefaultParagraphFont"/>
    <w:link w:val="Heading3"/>
    <w:rsid w:val="002E10D6"/>
    <w:rPr>
      <w:rFonts w:ascii="Bookman Old Style" w:hAnsi="Bookman Old Style"/>
      <w:b/>
      <w:bCs/>
      <w:i/>
      <w:sz w:val="26"/>
      <w:szCs w:val="26"/>
    </w:rPr>
  </w:style>
  <w:style w:type="character" w:customStyle="1" w:styleId="Heading4Char">
    <w:name w:val="Heading 4 Char"/>
    <w:basedOn w:val="DefaultParagraphFont"/>
    <w:link w:val="Heading4"/>
    <w:rsid w:val="002E10D6"/>
    <w:rPr>
      <w:rFonts w:ascii="Bookman Old Style" w:hAnsi="Bookman Old Style"/>
      <w:bCs/>
      <w:i/>
      <w:iCs/>
      <w:sz w:val="26"/>
    </w:rPr>
  </w:style>
  <w:style w:type="paragraph" w:styleId="Footer">
    <w:name w:val="footer"/>
    <w:basedOn w:val="Normal"/>
    <w:rsid w:val="002E10D6"/>
    <w:pPr>
      <w:tabs>
        <w:tab w:val="center" w:pos="4320"/>
        <w:tab w:val="right" w:pos="8640"/>
      </w:tabs>
    </w:pPr>
  </w:style>
  <w:style w:type="paragraph" w:customStyle="1" w:styleId="Single">
    <w:name w:val="Single"/>
    <w:next w:val="Normal"/>
    <w:link w:val="SingleChar"/>
    <w:qFormat/>
    <w:rsid w:val="002E10D6"/>
    <w:pPr>
      <w:spacing w:line="225" w:lineRule="exact"/>
    </w:pPr>
    <w:rPr>
      <w:rFonts w:ascii="Bookman Old Style" w:hAnsi="Bookman Old Style"/>
      <w:sz w:val="26"/>
    </w:rPr>
  </w:style>
  <w:style w:type="character" w:customStyle="1" w:styleId="SingleChar">
    <w:name w:val="Single Char"/>
    <w:basedOn w:val="DefaultParagraphFont"/>
    <w:link w:val="Single"/>
    <w:rsid w:val="002E10D6"/>
    <w:rPr>
      <w:rFonts w:ascii="Bookman Old Style" w:hAnsi="Bookman Old Style"/>
      <w:sz w:val="26"/>
    </w:rPr>
  </w:style>
  <w:style w:type="paragraph" w:styleId="FootnoteText">
    <w:name w:val="footnote text"/>
    <w:aliases w:val="FT"/>
    <w:link w:val="FootnoteTextChar"/>
    <w:uiPriority w:val="99"/>
    <w:qFormat/>
    <w:rsid w:val="002E10D6"/>
    <w:pPr>
      <w:spacing w:after="225" w:line="225" w:lineRule="exact"/>
    </w:pPr>
    <w:rPr>
      <w:rFonts w:ascii="Bookman Old Style" w:hAnsi="Bookman Old Style"/>
      <w:sz w:val="26"/>
      <w:szCs w:val="26"/>
    </w:rPr>
  </w:style>
  <w:style w:type="character" w:customStyle="1" w:styleId="FootnoteTextChar">
    <w:name w:val="Footnote Text Char"/>
    <w:aliases w:val="FT Char"/>
    <w:basedOn w:val="DefaultParagraphFont"/>
    <w:link w:val="FootnoteText"/>
    <w:uiPriority w:val="99"/>
    <w:rsid w:val="002E10D6"/>
    <w:rPr>
      <w:rFonts w:ascii="Bookman Old Style" w:hAnsi="Bookman Old Style"/>
      <w:sz w:val="26"/>
      <w:szCs w:val="26"/>
    </w:rPr>
  </w:style>
  <w:style w:type="character" w:styleId="FootnoteReference">
    <w:name w:val="footnote reference"/>
    <w:basedOn w:val="DefaultParagraphFont"/>
    <w:uiPriority w:val="99"/>
    <w:qFormat/>
    <w:rsid w:val="003B323A"/>
    <w:rPr>
      <w:vertAlign w:val="superscript"/>
    </w:rPr>
  </w:style>
  <w:style w:type="paragraph" w:styleId="Title">
    <w:name w:val="Title"/>
    <w:next w:val="Normal"/>
    <w:link w:val="TitleChar"/>
    <w:qFormat/>
    <w:rsid w:val="002E10D6"/>
    <w:pPr>
      <w:numPr>
        <w:numId w:val="14"/>
      </w:numPr>
      <w:spacing w:line="227" w:lineRule="exact"/>
      <w:jc w:val="center"/>
    </w:pPr>
    <w:rPr>
      <w:rFonts w:ascii="Bookman Old Style" w:hAnsi="Bookman Old Style"/>
      <w:b/>
      <w:bCs/>
      <w:sz w:val="30"/>
      <w:szCs w:val="30"/>
    </w:rPr>
  </w:style>
  <w:style w:type="character" w:customStyle="1" w:styleId="TitleChar">
    <w:name w:val="Title Char"/>
    <w:basedOn w:val="DefaultParagraphFont"/>
    <w:link w:val="Title"/>
    <w:rsid w:val="002E10D6"/>
    <w:rPr>
      <w:rFonts w:ascii="Bookman Old Style" w:hAnsi="Bookman Old Style"/>
      <w:b/>
      <w:bCs/>
      <w:sz w:val="30"/>
      <w:szCs w:val="30"/>
    </w:rPr>
  </w:style>
  <w:style w:type="paragraph" w:customStyle="1" w:styleId="CaseMotionInfo">
    <w:name w:val="Case &amp; Motion Info"/>
    <w:basedOn w:val="Single"/>
    <w:link w:val="CaseMotionInfoChar"/>
    <w:rsid w:val="002E10D6"/>
    <w:pPr>
      <w:ind w:left="532"/>
    </w:pPr>
  </w:style>
  <w:style w:type="character" w:customStyle="1" w:styleId="CaseMotionInfoChar">
    <w:name w:val="Case &amp; Motion Info Char"/>
    <w:basedOn w:val="SingleChar"/>
    <w:link w:val="CaseMotionInfo"/>
    <w:rsid w:val="002E10D6"/>
    <w:rPr>
      <w:rFonts w:ascii="Bookman Old Style" w:hAnsi="Bookman Old Style"/>
      <w:sz w:val="26"/>
    </w:rPr>
  </w:style>
  <w:style w:type="paragraph" w:customStyle="1" w:styleId="CourtTitle">
    <w:name w:val="Court Title"/>
    <w:basedOn w:val="Title"/>
    <w:link w:val="CourtTitleChar"/>
    <w:rsid w:val="002E10D6"/>
  </w:style>
  <w:style w:type="character" w:customStyle="1" w:styleId="CourtTitleChar">
    <w:name w:val="Court Title Char"/>
    <w:basedOn w:val="TitleChar"/>
    <w:link w:val="CourtTitle"/>
    <w:rsid w:val="002E10D6"/>
    <w:rPr>
      <w:rFonts w:ascii="Bookman Old Style" w:hAnsi="Bookman Old Style"/>
      <w:b/>
      <w:bCs/>
      <w:sz w:val="30"/>
      <w:szCs w:val="30"/>
    </w:rPr>
  </w:style>
  <w:style w:type="paragraph" w:customStyle="1" w:styleId="BlockQuote">
    <w:name w:val="Block Quote"/>
    <w:link w:val="BlockQuoteChar"/>
    <w:qFormat/>
    <w:rsid w:val="002E10D6"/>
    <w:pPr>
      <w:spacing w:line="225" w:lineRule="exact"/>
      <w:ind w:left="1440" w:right="1440"/>
    </w:pPr>
    <w:rPr>
      <w:rFonts w:ascii="Bookman Old Style" w:hAnsi="Bookman Old Style"/>
      <w:sz w:val="26"/>
    </w:rPr>
  </w:style>
  <w:style w:type="character" w:customStyle="1" w:styleId="BlockQuoteChar">
    <w:name w:val="Block Quote Char"/>
    <w:basedOn w:val="DefaultParagraphFont"/>
    <w:link w:val="BlockQuote"/>
    <w:rsid w:val="002E10D6"/>
    <w:rPr>
      <w:rFonts w:ascii="Bookman Old Style" w:hAnsi="Bookman Old Style"/>
      <w:sz w:val="26"/>
    </w:rPr>
  </w:style>
  <w:style w:type="paragraph" w:styleId="BalloonText">
    <w:name w:val="Balloon Text"/>
    <w:basedOn w:val="Normal"/>
    <w:link w:val="BalloonTextChar"/>
    <w:uiPriority w:val="99"/>
    <w:semiHidden/>
    <w:unhideWhenUsed/>
    <w:rsid w:val="003B32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23A"/>
    <w:rPr>
      <w:rFonts w:ascii="Tahoma" w:hAnsi="Tahoma" w:cs="Tahoma"/>
      <w:sz w:val="16"/>
      <w:szCs w:val="16"/>
    </w:rPr>
  </w:style>
  <w:style w:type="numbering" w:customStyle="1" w:styleId="Head1">
    <w:name w:val="Head 1"/>
    <w:rsid w:val="002837E5"/>
    <w:pPr>
      <w:numPr>
        <w:numId w:val="5"/>
      </w:numPr>
    </w:pPr>
  </w:style>
  <w:style w:type="paragraph" w:styleId="Header">
    <w:name w:val="header"/>
    <w:basedOn w:val="Normal"/>
    <w:link w:val="HeaderChar"/>
    <w:uiPriority w:val="99"/>
    <w:unhideWhenUsed/>
    <w:rsid w:val="009158BC"/>
    <w:pPr>
      <w:tabs>
        <w:tab w:val="center" w:pos="4680"/>
        <w:tab w:val="right" w:pos="9360"/>
      </w:tabs>
      <w:spacing w:line="240" w:lineRule="auto"/>
    </w:pPr>
  </w:style>
  <w:style w:type="character" w:customStyle="1" w:styleId="HeaderChar">
    <w:name w:val="Header Char"/>
    <w:basedOn w:val="DefaultParagraphFont"/>
    <w:link w:val="Header"/>
    <w:uiPriority w:val="99"/>
    <w:rsid w:val="009158BC"/>
    <w:rPr>
      <w:sz w:val="26"/>
    </w:rPr>
  </w:style>
  <w:style w:type="paragraph" w:customStyle="1" w:styleId="Half">
    <w:name w:val="Half"/>
    <w:link w:val="HalfChar"/>
    <w:qFormat/>
    <w:rsid w:val="002E10D6"/>
    <w:pPr>
      <w:spacing w:line="180" w:lineRule="exact"/>
    </w:pPr>
    <w:rPr>
      <w:rFonts w:ascii="Bookman Old Style" w:hAnsi="Bookman Old Style"/>
      <w:sz w:val="18"/>
      <w:szCs w:val="18"/>
    </w:rPr>
  </w:style>
  <w:style w:type="character" w:customStyle="1" w:styleId="HalfChar">
    <w:name w:val="Half Char"/>
    <w:basedOn w:val="SingleChar"/>
    <w:link w:val="Half"/>
    <w:rsid w:val="002E10D6"/>
    <w:rPr>
      <w:rFonts w:ascii="Bookman Old Style" w:hAnsi="Bookman Old Style"/>
      <w:sz w:val="18"/>
      <w:szCs w:val="18"/>
    </w:rPr>
  </w:style>
  <w:style w:type="paragraph" w:customStyle="1" w:styleId="StyleBlockQuoteSuperscript">
    <w:name w:val="Style Block Quote + Superscript"/>
    <w:basedOn w:val="BlockQuote"/>
    <w:rsid w:val="002E10D6"/>
    <w:rPr>
      <w:vertAlign w:val="superscript"/>
    </w:rPr>
  </w:style>
  <w:style w:type="paragraph" w:customStyle="1" w:styleId="StyleFirstline0">
    <w:name w:val="Style First line:  0&quot;"/>
    <w:basedOn w:val="Normal"/>
    <w:rsid w:val="002E10D6"/>
    <w:pPr>
      <w:ind w:firstLine="0"/>
    </w:pPr>
  </w:style>
  <w:style w:type="paragraph" w:customStyle="1" w:styleId="StyleSingleBody15ptBold">
    <w:name w:val="Style Single + +Body 15 pt Bold"/>
    <w:basedOn w:val="Single"/>
    <w:rsid w:val="002E10D6"/>
    <w:rPr>
      <w:b/>
      <w:bCs/>
      <w:sz w:val="30"/>
    </w:rPr>
  </w:style>
  <w:style w:type="paragraph" w:customStyle="1" w:styleId="StyleSingleLeft35">
    <w:name w:val="Style Single + Left:  3.5&quot;"/>
    <w:basedOn w:val="Single"/>
    <w:rsid w:val="002E10D6"/>
    <w:pPr>
      <w:ind w:left="5040"/>
    </w:pPr>
  </w:style>
  <w:style w:type="character" w:styleId="PlaceholderText">
    <w:name w:val="Placeholder Text"/>
    <w:basedOn w:val="DefaultParagraphFont"/>
    <w:uiPriority w:val="99"/>
    <w:semiHidden/>
    <w:rsid w:val="00D277BA"/>
    <w:rPr>
      <w:color w:val="808080"/>
    </w:rPr>
  </w:style>
  <w:style w:type="character" w:styleId="CommentReference">
    <w:name w:val="annotation reference"/>
    <w:basedOn w:val="DefaultParagraphFont"/>
    <w:uiPriority w:val="99"/>
    <w:semiHidden/>
    <w:unhideWhenUsed/>
    <w:rsid w:val="004B4E14"/>
    <w:rPr>
      <w:sz w:val="16"/>
      <w:szCs w:val="16"/>
    </w:rPr>
  </w:style>
  <w:style w:type="paragraph" w:styleId="CommentText">
    <w:name w:val="annotation text"/>
    <w:basedOn w:val="Normal"/>
    <w:link w:val="CommentTextChar"/>
    <w:uiPriority w:val="99"/>
    <w:semiHidden/>
    <w:unhideWhenUsed/>
    <w:rsid w:val="004B4E14"/>
    <w:pPr>
      <w:spacing w:line="240" w:lineRule="auto"/>
    </w:pPr>
    <w:rPr>
      <w:sz w:val="20"/>
    </w:rPr>
  </w:style>
  <w:style w:type="character" w:customStyle="1" w:styleId="CommentTextChar">
    <w:name w:val="Comment Text Char"/>
    <w:basedOn w:val="DefaultParagraphFont"/>
    <w:link w:val="CommentText"/>
    <w:uiPriority w:val="99"/>
    <w:semiHidden/>
    <w:rsid w:val="004B4E14"/>
    <w:rPr>
      <w:rFonts w:ascii="Bookman Old Style" w:hAnsi="Bookman Old Style"/>
    </w:rPr>
  </w:style>
  <w:style w:type="paragraph" w:styleId="CommentSubject">
    <w:name w:val="annotation subject"/>
    <w:basedOn w:val="CommentText"/>
    <w:next w:val="CommentText"/>
    <w:link w:val="CommentSubjectChar"/>
    <w:uiPriority w:val="99"/>
    <w:semiHidden/>
    <w:unhideWhenUsed/>
    <w:rsid w:val="004B4E14"/>
    <w:rPr>
      <w:b/>
      <w:bCs/>
    </w:rPr>
  </w:style>
  <w:style w:type="character" w:customStyle="1" w:styleId="CommentSubjectChar">
    <w:name w:val="Comment Subject Char"/>
    <w:basedOn w:val="CommentTextChar"/>
    <w:link w:val="CommentSubject"/>
    <w:uiPriority w:val="99"/>
    <w:semiHidden/>
    <w:rsid w:val="004B4E14"/>
    <w:rPr>
      <w:rFonts w:ascii="Bookman Old Style" w:hAnsi="Bookman Old Style"/>
      <w:b/>
      <w:bCs/>
    </w:rPr>
  </w:style>
  <w:style w:type="character" w:styleId="Hyperlink">
    <w:name w:val="Hyperlink"/>
    <w:basedOn w:val="DefaultParagraphFont"/>
    <w:uiPriority w:val="99"/>
    <w:unhideWhenUsed/>
    <w:rsid w:val="005254BC"/>
    <w:rPr>
      <w:color w:val="0000FF" w:themeColor="hyperlink"/>
      <w:u w:val="single"/>
    </w:rPr>
  </w:style>
  <w:style w:type="paragraph" w:styleId="ListParagraph">
    <w:name w:val="List Paragraph"/>
    <w:basedOn w:val="Normal"/>
    <w:uiPriority w:val="34"/>
    <w:rsid w:val="00DA630A"/>
    <w:pPr>
      <w:ind w:left="720"/>
      <w:contextualSpacing/>
    </w:pPr>
  </w:style>
  <w:style w:type="character" w:styleId="FollowedHyperlink">
    <w:name w:val="FollowedHyperlink"/>
    <w:basedOn w:val="DefaultParagraphFont"/>
    <w:uiPriority w:val="99"/>
    <w:semiHidden/>
    <w:unhideWhenUsed/>
    <w:rsid w:val="00FB3B43"/>
    <w:rPr>
      <w:color w:val="800080" w:themeColor="followedHyperlink"/>
      <w:u w:val="single"/>
    </w:rPr>
  </w:style>
  <w:style w:type="character" w:customStyle="1" w:styleId="UnresolvedMention">
    <w:name w:val="Unresolved Mention"/>
    <w:basedOn w:val="DefaultParagraphFont"/>
    <w:uiPriority w:val="99"/>
    <w:semiHidden/>
    <w:unhideWhenUsed/>
    <w:rsid w:val="000A4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78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bit.ly/2ygqU1k" TargetMode="External"/><Relationship Id="rId2" Type="http://schemas.openxmlformats.org/officeDocument/2006/relationships/hyperlink" Target="https://nyti.ms/3aycWX4" TargetMode="External"/><Relationship Id="rId1" Type="http://schemas.openxmlformats.org/officeDocument/2006/relationships/hyperlink" Target="https://www.cdc.gov/coronavirus/2019-ncov/prevent-getting-sick/prevention.html" TargetMode="External"/><Relationship Id="rId6" Type="http://schemas.openxmlformats.org/officeDocument/2006/relationships/hyperlink" Target="https://www.burnsinstitute.org/publications/san-francisco-justice-reinvestment-initiative-racial-and-ethnic-disparities-analysis-for-the-re-entry-council" TargetMode="External"/><Relationship Id="rId5" Type="http://schemas.openxmlformats.org/officeDocument/2006/relationships/hyperlink" Target="https://www.sfsheriff.com/covid-19-jail-community-programs-sfso-staff-data" TargetMode="External"/><Relationship Id="rId4" Type="http://schemas.openxmlformats.org/officeDocument/2006/relationships/hyperlink" Target="http://www.thelancet.com/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DF10FC48046C41948C42E96CF3B03B" ma:contentTypeVersion="10" ma:contentTypeDescription="Create a new document." ma:contentTypeScope="" ma:versionID="9014d08dd714f06d7ac69791135145c5">
  <xsd:schema xmlns:xsd="http://www.w3.org/2001/XMLSchema" xmlns:xs="http://www.w3.org/2001/XMLSchema" xmlns:p="http://schemas.microsoft.com/office/2006/metadata/properties" xmlns:ns2="05dc37b4-2746-4f14-bb18-4c73e12e616e" xmlns:ns3="36b8057a-491f-43b8-bafa-ba10867ab019" targetNamespace="http://schemas.microsoft.com/office/2006/metadata/properties" ma:root="true" ma:fieldsID="bb85be8cc22b43154d8bff96c9b30e7c" ns2:_="" ns3:_="">
    <xsd:import namespace="05dc37b4-2746-4f14-bb18-4c73e12e616e"/>
    <xsd:import namespace="36b8057a-491f-43b8-bafa-ba10867ab0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dc37b4-2746-4f14-bb18-4c73e12e6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6b8057a-491f-43b8-bafa-ba10867ab01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5EE56-C6B4-4DB3-B5FD-04C2B49DA8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dc37b4-2746-4f14-bb18-4c73e12e616e"/>
    <ds:schemaRef ds:uri="36b8057a-491f-43b8-bafa-ba10867ab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59F6FD-90CB-4DDA-B86B-1D7689E9B7DA}">
  <ds:schemaRefs>
    <ds:schemaRef ds:uri="http://purl.org/dc/terms/"/>
    <ds:schemaRef ds:uri="05dc37b4-2746-4f14-bb18-4c73e12e616e"/>
    <ds:schemaRef ds:uri="http://schemas.microsoft.com/office/2006/documentManagement/types"/>
    <ds:schemaRef ds:uri="36b8057a-491f-43b8-bafa-ba10867ab019"/>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BF1F974-E197-434F-9B21-D2A7D5DAC9D2}">
  <ds:schemaRefs>
    <ds:schemaRef ds:uri="http://schemas.microsoft.com/sharepoint/v3/contenttype/forms"/>
  </ds:schemaRefs>
</ds:datastoreItem>
</file>

<file path=customXml/itemProps4.xml><?xml version="1.0" encoding="utf-8"?>
<ds:datastoreItem xmlns:ds="http://schemas.openxmlformats.org/officeDocument/2006/customXml" ds:itemID="{BE768F9E-1586-4F4E-9845-DE78437CA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3430</Words>
  <Characters>25474</Characters>
  <Application>Microsoft Office Word</Application>
  <DocSecurity>4</DocSecurity>
  <Lines>212</Lines>
  <Paragraphs>57</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Vu</dc:creator>
  <cp:lastModifiedBy>Crystal Lamb</cp:lastModifiedBy>
  <cp:revision>2</cp:revision>
  <cp:lastPrinted>2018-01-23T20:32:00Z</cp:lastPrinted>
  <dcterms:created xsi:type="dcterms:W3CDTF">2021-10-28T18:52:00Z</dcterms:created>
  <dcterms:modified xsi:type="dcterms:W3CDTF">2021-10-28T18:52:00Z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TC060870011033</vt:lpwstr>
  </property>
  <property fmtid="{D5CDD505-2E9C-101B-9397-08002B2CF9AE}" pid="3" name="ContentTypeId">
    <vt:lpwstr>0x010100F9DF10FC48046C41948C42E96CF3B03B</vt:lpwstr>
  </property>
</Properties>
</file>